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F9F09" w14:textId="0B198032" w:rsidR="0096187C" w:rsidRDefault="0096187C" w:rsidP="0096187C">
      <w:pPr>
        <w:rPr>
          <w:rFonts w:asciiTheme="minorBidi" w:hAnsiTheme="minorBidi"/>
          <w:b/>
          <w:bCs/>
          <w:sz w:val="24"/>
          <w:szCs w:val="24"/>
          <w:lang w:bidi="fa-IR"/>
        </w:rPr>
      </w:pPr>
      <w:bookmarkStart w:id="0" w:name="_Hlk198966512"/>
      <w:r w:rsidRPr="00F44111">
        <w:rPr>
          <w:rFonts w:asciiTheme="minorBidi" w:hAnsiTheme="minorBidi"/>
          <w:b/>
          <w:bCs/>
          <w:sz w:val="24"/>
          <w:szCs w:val="24"/>
          <w:lang w:bidi="fa-IR"/>
        </w:rPr>
        <w:t>Low-frequency Mediated Bottom-Up Communication from Olfactory Bulb to Prefrontal Cortex in Anxiety States</w:t>
      </w:r>
    </w:p>
    <w:p w14:paraId="350075B3" w14:textId="77777777" w:rsidR="00F44111" w:rsidRPr="0090074D" w:rsidRDefault="00F44111" w:rsidP="00F44111">
      <w:pPr>
        <w:rPr>
          <w:rFonts w:asciiTheme="minorBidi" w:hAnsiTheme="minorBidi"/>
          <w:sz w:val="24"/>
          <w:szCs w:val="24"/>
          <w:lang w:bidi="fa-IR"/>
        </w:rPr>
      </w:pPr>
      <w:r w:rsidRPr="0090074D">
        <w:rPr>
          <w:rFonts w:asciiTheme="minorBidi" w:hAnsiTheme="minorBidi"/>
          <w:sz w:val="24"/>
          <w:szCs w:val="24"/>
          <w:lang w:bidi="fa-IR"/>
        </w:rPr>
        <w:t>Ali Samii Moghaddam</w:t>
      </w:r>
      <w:r w:rsidRPr="0090074D">
        <w:rPr>
          <w:rFonts w:asciiTheme="minorBidi" w:hAnsiTheme="minorBidi"/>
          <w:sz w:val="24"/>
          <w:szCs w:val="24"/>
          <w:vertAlign w:val="superscript"/>
          <w:lang w:bidi="fa-IR"/>
        </w:rPr>
        <w:t>1,2</w:t>
      </w:r>
      <w:r w:rsidRPr="0090074D">
        <w:rPr>
          <w:rFonts w:asciiTheme="minorBidi" w:hAnsiTheme="minorBidi"/>
          <w:sz w:val="24"/>
          <w:szCs w:val="24"/>
          <w:lang w:bidi="fa-IR"/>
        </w:rPr>
        <w:t>*</w:t>
      </w:r>
    </w:p>
    <w:p w14:paraId="6DB01F1A" w14:textId="77777777" w:rsidR="00F44111" w:rsidRPr="0090074D" w:rsidRDefault="00F44111" w:rsidP="00F44111">
      <w:pPr>
        <w:rPr>
          <w:rFonts w:asciiTheme="minorBidi" w:hAnsiTheme="minorBidi"/>
          <w:sz w:val="24"/>
          <w:szCs w:val="24"/>
          <w:lang w:bidi="fa-IR"/>
        </w:rPr>
      </w:pPr>
      <w:r w:rsidRPr="0090074D">
        <w:rPr>
          <w:rFonts w:asciiTheme="minorBidi" w:hAnsiTheme="minorBidi"/>
          <w:sz w:val="24"/>
          <w:szCs w:val="24"/>
          <w:lang w:bidi="fa-IR"/>
        </w:rPr>
        <w:t>1. Student Research Committee, Zahedan University of Medical Sciences, Zahedan, Iran.</w:t>
      </w:r>
    </w:p>
    <w:p w14:paraId="18A628CD" w14:textId="77777777" w:rsidR="00F44111" w:rsidRPr="0090074D" w:rsidRDefault="00F44111" w:rsidP="00F44111">
      <w:pPr>
        <w:rPr>
          <w:rFonts w:asciiTheme="minorBidi" w:hAnsiTheme="minorBidi"/>
          <w:sz w:val="24"/>
          <w:szCs w:val="24"/>
          <w:lang w:bidi="fa-IR"/>
        </w:rPr>
      </w:pPr>
      <w:r w:rsidRPr="0090074D">
        <w:rPr>
          <w:rFonts w:asciiTheme="minorBidi" w:hAnsiTheme="minorBidi"/>
          <w:sz w:val="24"/>
          <w:szCs w:val="24"/>
          <w:lang w:bidi="fa-IR"/>
        </w:rPr>
        <w:t xml:space="preserve">2. </w:t>
      </w:r>
      <w:bookmarkStart w:id="1" w:name="_Hlk198942232"/>
      <w:r w:rsidRPr="0090074D">
        <w:rPr>
          <w:rFonts w:asciiTheme="minorBidi" w:hAnsiTheme="minorBidi"/>
          <w:sz w:val="24"/>
          <w:szCs w:val="24"/>
          <w:lang w:bidi="fa-IR"/>
        </w:rPr>
        <w:t>School of Medicine</w:t>
      </w:r>
      <w:bookmarkEnd w:id="1"/>
      <w:r w:rsidRPr="0090074D">
        <w:rPr>
          <w:rFonts w:asciiTheme="minorBidi" w:hAnsiTheme="minorBidi"/>
          <w:sz w:val="24"/>
          <w:szCs w:val="24"/>
          <w:lang w:bidi="fa-IR"/>
        </w:rPr>
        <w:t xml:space="preserve">, </w:t>
      </w:r>
      <w:bookmarkStart w:id="2" w:name="_Hlk198942247"/>
      <w:r w:rsidRPr="0090074D">
        <w:rPr>
          <w:rFonts w:asciiTheme="minorBidi" w:hAnsiTheme="minorBidi"/>
          <w:sz w:val="24"/>
          <w:szCs w:val="24"/>
          <w:lang w:bidi="fa-IR"/>
        </w:rPr>
        <w:t>Zahedan University of Medical Sciences</w:t>
      </w:r>
      <w:bookmarkEnd w:id="2"/>
      <w:r w:rsidRPr="0090074D">
        <w:rPr>
          <w:rFonts w:asciiTheme="minorBidi" w:hAnsiTheme="minorBidi"/>
          <w:sz w:val="24"/>
          <w:szCs w:val="24"/>
          <w:lang w:bidi="fa-IR"/>
        </w:rPr>
        <w:t xml:space="preserve">, </w:t>
      </w:r>
      <w:bookmarkStart w:id="3" w:name="_Hlk198942256"/>
      <w:r w:rsidRPr="0090074D">
        <w:rPr>
          <w:rFonts w:asciiTheme="minorBidi" w:hAnsiTheme="minorBidi"/>
          <w:sz w:val="24"/>
          <w:szCs w:val="24"/>
          <w:lang w:bidi="fa-IR"/>
        </w:rPr>
        <w:t>Zahedan, Iran</w:t>
      </w:r>
      <w:bookmarkEnd w:id="3"/>
      <w:r w:rsidRPr="0090074D">
        <w:rPr>
          <w:rFonts w:asciiTheme="minorBidi" w:hAnsiTheme="minorBidi"/>
          <w:sz w:val="24"/>
          <w:szCs w:val="24"/>
          <w:lang w:bidi="fa-IR"/>
        </w:rPr>
        <w:t>.</w:t>
      </w:r>
    </w:p>
    <w:p w14:paraId="3977F9CB" w14:textId="77777777" w:rsidR="00F44111" w:rsidRPr="0090074D" w:rsidRDefault="00F44111" w:rsidP="00F44111">
      <w:pPr>
        <w:rPr>
          <w:rFonts w:asciiTheme="minorBidi" w:hAnsiTheme="minorBidi"/>
          <w:sz w:val="24"/>
          <w:szCs w:val="24"/>
          <w:lang w:bidi="fa-IR"/>
        </w:rPr>
      </w:pPr>
    </w:p>
    <w:p w14:paraId="4AB6B8DD" w14:textId="77777777" w:rsidR="00F44111" w:rsidRPr="0090074D" w:rsidRDefault="00F44111" w:rsidP="00F44111">
      <w:pPr>
        <w:rPr>
          <w:rFonts w:asciiTheme="minorBidi" w:hAnsiTheme="minorBidi"/>
          <w:sz w:val="24"/>
          <w:szCs w:val="24"/>
          <w:lang w:bidi="fa-IR"/>
        </w:rPr>
      </w:pPr>
      <w:r w:rsidRPr="0090074D">
        <w:rPr>
          <w:rFonts w:asciiTheme="minorBidi" w:hAnsiTheme="minorBidi"/>
          <w:sz w:val="24"/>
          <w:szCs w:val="24"/>
          <w:lang w:bidi="fa-IR"/>
        </w:rPr>
        <w:t xml:space="preserve">* Correspondence: </w:t>
      </w:r>
      <w:r>
        <w:rPr>
          <w:rFonts w:asciiTheme="minorBidi" w:hAnsiTheme="minorBidi"/>
          <w:sz w:val="24"/>
          <w:szCs w:val="24"/>
          <w:lang w:bidi="fa-IR"/>
        </w:rPr>
        <w:t>ASM</w:t>
      </w:r>
      <w:r w:rsidRPr="0090074D">
        <w:rPr>
          <w:rFonts w:asciiTheme="minorBidi" w:hAnsiTheme="minorBidi"/>
          <w:sz w:val="24"/>
          <w:szCs w:val="24"/>
          <w:lang w:bidi="fa-IR"/>
        </w:rPr>
        <w:t>(</w:t>
      </w:r>
      <w:hyperlink r:id="rId8" w:history="1">
        <w:r w:rsidRPr="009428C4">
          <w:rPr>
            <w:rStyle w:val="Hyperlink"/>
            <w:rFonts w:asciiTheme="minorBidi" w:hAnsiTheme="minorBidi"/>
            <w:sz w:val="24"/>
            <w:szCs w:val="24"/>
            <w:lang w:bidi="fa-IR"/>
          </w:rPr>
          <w:t>alisamii</w:t>
        </w:r>
        <w:r w:rsidRPr="0090074D">
          <w:rPr>
            <w:rStyle w:val="Hyperlink"/>
            <w:rFonts w:asciiTheme="minorBidi" w:hAnsiTheme="minorBidi"/>
            <w:sz w:val="24"/>
            <w:szCs w:val="24"/>
            <w:lang w:bidi="fa-IR"/>
          </w:rPr>
          <w:t>@zaums.ac.ir</w:t>
        </w:r>
      </w:hyperlink>
      <w:r w:rsidRPr="0090074D">
        <w:rPr>
          <w:rFonts w:asciiTheme="minorBidi" w:hAnsiTheme="minorBidi"/>
          <w:sz w:val="24"/>
          <w:szCs w:val="24"/>
          <w:lang w:bidi="fa-IR"/>
        </w:rPr>
        <w:t>)</w:t>
      </w:r>
      <w:r>
        <w:rPr>
          <w:rFonts w:asciiTheme="minorBidi" w:hAnsiTheme="minorBidi"/>
          <w:sz w:val="24"/>
          <w:szCs w:val="24"/>
          <w:lang w:bidi="fa-IR"/>
        </w:rPr>
        <w:t>.</w:t>
      </w:r>
    </w:p>
    <w:p w14:paraId="5DA24366" w14:textId="77777777" w:rsidR="00F44111" w:rsidRDefault="00F44111" w:rsidP="0096187C">
      <w:pPr>
        <w:rPr>
          <w:rFonts w:asciiTheme="minorBidi" w:hAnsiTheme="minorBidi"/>
          <w:b/>
          <w:bCs/>
          <w:sz w:val="24"/>
          <w:szCs w:val="24"/>
          <w:lang w:bidi="fa-IR"/>
        </w:rPr>
      </w:pPr>
    </w:p>
    <w:p w14:paraId="140F1050" w14:textId="77777777" w:rsidR="00F44111" w:rsidRDefault="00F44111" w:rsidP="0096187C">
      <w:pPr>
        <w:rPr>
          <w:rFonts w:asciiTheme="minorBidi" w:hAnsiTheme="minorBidi"/>
          <w:b/>
          <w:bCs/>
          <w:sz w:val="24"/>
          <w:szCs w:val="24"/>
          <w:lang w:bidi="fa-IR"/>
        </w:rPr>
      </w:pPr>
    </w:p>
    <w:p w14:paraId="6D780D4F" w14:textId="77777777" w:rsidR="00F44111" w:rsidRDefault="00F44111" w:rsidP="0096187C">
      <w:pPr>
        <w:rPr>
          <w:rFonts w:asciiTheme="minorBidi" w:hAnsiTheme="minorBidi"/>
          <w:b/>
          <w:bCs/>
          <w:sz w:val="24"/>
          <w:szCs w:val="24"/>
          <w:lang w:bidi="fa-IR"/>
        </w:rPr>
      </w:pPr>
    </w:p>
    <w:p w14:paraId="68AF5B4A" w14:textId="77777777" w:rsidR="00F44111" w:rsidRDefault="00F44111" w:rsidP="0096187C">
      <w:pPr>
        <w:rPr>
          <w:rFonts w:asciiTheme="minorBidi" w:hAnsiTheme="minorBidi"/>
          <w:b/>
          <w:bCs/>
          <w:sz w:val="24"/>
          <w:szCs w:val="24"/>
          <w:lang w:bidi="fa-IR"/>
        </w:rPr>
      </w:pPr>
    </w:p>
    <w:p w14:paraId="1040AC63" w14:textId="77777777" w:rsidR="00F44111" w:rsidRDefault="00F44111" w:rsidP="0096187C">
      <w:pPr>
        <w:rPr>
          <w:rFonts w:asciiTheme="minorBidi" w:hAnsiTheme="minorBidi"/>
          <w:b/>
          <w:bCs/>
          <w:sz w:val="24"/>
          <w:szCs w:val="24"/>
          <w:lang w:bidi="fa-IR"/>
        </w:rPr>
      </w:pPr>
    </w:p>
    <w:p w14:paraId="612BE6BA" w14:textId="77777777" w:rsidR="00F44111" w:rsidRDefault="00F44111" w:rsidP="0096187C">
      <w:pPr>
        <w:rPr>
          <w:rFonts w:asciiTheme="minorBidi" w:hAnsiTheme="minorBidi"/>
          <w:b/>
          <w:bCs/>
          <w:sz w:val="24"/>
          <w:szCs w:val="24"/>
          <w:lang w:bidi="fa-IR"/>
        </w:rPr>
      </w:pPr>
    </w:p>
    <w:p w14:paraId="5791400B" w14:textId="77777777" w:rsidR="00F44111" w:rsidRDefault="00F44111" w:rsidP="0096187C">
      <w:pPr>
        <w:rPr>
          <w:rFonts w:asciiTheme="minorBidi" w:hAnsiTheme="minorBidi"/>
          <w:b/>
          <w:bCs/>
          <w:sz w:val="24"/>
          <w:szCs w:val="24"/>
          <w:lang w:bidi="fa-IR"/>
        </w:rPr>
      </w:pPr>
    </w:p>
    <w:p w14:paraId="529F1189" w14:textId="77777777" w:rsidR="00F44111" w:rsidRDefault="00F44111" w:rsidP="0096187C">
      <w:pPr>
        <w:rPr>
          <w:rFonts w:asciiTheme="minorBidi" w:hAnsiTheme="minorBidi"/>
          <w:b/>
          <w:bCs/>
          <w:sz w:val="24"/>
          <w:szCs w:val="24"/>
          <w:lang w:bidi="fa-IR"/>
        </w:rPr>
      </w:pPr>
    </w:p>
    <w:p w14:paraId="69693957" w14:textId="77777777" w:rsidR="00F44111" w:rsidRDefault="00F44111" w:rsidP="0096187C">
      <w:pPr>
        <w:rPr>
          <w:rFonts w:asciiTheme="minorBidi" w:hAnsiTheme="minorBidi"/>
          <w:b/>
          <w:bCs/>
          <w:sz w:val="24"/>
          <w:szCs w:val="24"/>
          <w:lang w:bidi="fa-IR"/>
        </w:rPr>
      </w:pPr>
    </w:p>
    <w:p w14:paraId="47F23C2B" w14:textId="77777777" w:rsidR="00F44111" w:rsidRDefault="00F44111" w:rsidP="0096187C">
      <w:pPr>
        <w:rPr>
          <w:rFonts w:asciiTheme="minorBidi" w:hAnsiTheme="minorBidi"/>
          <w:b/>
          <w:bCs/>
          <w:sz w:val="24"/>
          <w:szCs w:val="24"/>
          <w:lang w:bidi="fa-IR"/>
        </w:rPr>
      </w:pPr>
    </w:p>
    <w:p w14:paraId="65A8DC92" w14:textId="77777777" w:rsidR="00F44111" w:rsidRDefault="00F44111" w:rsidP="0096187C">
      <w:pPr>
        <w:rPr>
          <w:rFonts w:asciiTheme="minorBidi" w:hAnsiTheme="minorBidi"/>
          <w:b/>
          <w:bCs/>
          <w:sz w:val="24"/>
          <w:szCs w:val="24"/>
          <w:lang w:bidi="fa-IR"/>
        </w:rPr>
      </w:pPr>
    </w:p>
    <w:p w14:paraId="43485F48" w14:textId="77777777" w:rsidR="00F44111" w:rsidRDefault="00F44111" w:rsidP="0096187C">
      <w:pPr>
        <w:rPr>
          <w:rFonts w:asciiTheme="minorBidi" w:hAnsiTheme="minorBidi"/>
          <w:b/>
          <w:bCs/>
          <w:sz w:val="24"/>
          <w:szCs w:val="24"/>
          <w:lang w:bidi="fa-IR"/>
        </w:rPr>
      </w:pPr>
    </w:p>
    <w:p w14:paraId="1A0D3DFF" w14:textId="77777777" w:rsidR="00F44111" w:rsidRDefault="00F44111" w:rsidP="0096187C">
      <w:pPr>
        <w:rPr>
          <w:rFonts w:asciiTheme="minorBidi" w:hAnsiTheme="minorBidi"/>
          <w:b/>
          <w:bCs/>
          <w:sz w:val="24"/>
          <w:szCs w:val="24"/>
          <w:lang w:bidi="fa-IR"/>
        </w:rPr>
      </w:pPr>
    </w:p>
    <w:p w14:paraId="4D491CB3" w14:textId="77777777" w:rsidR="00F44111" w:rsidRDefault="00F44111" w:rsidP="0096187C">
      <w:pPr>
        <w:rPr>
          <w:rFonts w:asciiTheme="minorBidi" w:hAnsiTheme="minorBidi"/>
          <w:b/>
          <w:bCs/>
          <w:sz w:val="24"/>
          <w:szCs w:val="24"/>
          <w:lang w:bidi="fa-IR"/>
        </w:rPr>
      </w:pPr>
    </w:p>
    <w:p w14:paraId="6A5A757D" w14:textId="77777777" w:rsidR="00F44111" w:rsidRDefault="00F44111" w:rsidP="0096187C">
      <w:pPr>
        <w:rPr>
          <w:rFonts w:asciiTheme="minorBidi" w:hAnsiTheme="minorBidi"/>
          <w:b/>
          <w:bCs/>
          <w:sz w:val="24"/>
          <w:szCs w:val="24"/>
          <w:lang w:bidi="fa-IR"/>
        </w:rPr>
      </w:pPr>
    </w:p>
    <w:p w14:paraId="3C2B0EDE" w14:textId="77777777" w:rsidR="00F44111" w:rsidRDefault="00F44111" w:rsidP="0096187C">
      <w:pPr>
        <w:rPr>
          <w:rFonts w:asciiTheme="minorBidi" w:hAnsiTheme="minorBidi"/>
          <w:b/>
          <w:bCs/>
          <w:sz w:val="24"/>
          <w:szCs w:val="24"/>
          <w:lang w:bidi="fa-IR"/>
        </w:rPr>
      </w:pPr>
    </w:p>
    <w:p w14:paraId="4C83F090" w14:textId="77777777" w:rsidR="00F44111" w:rsidRDefault="00F44111" w:rsidP="0096187C">
      <w:pPr>
        <w:rPr>
          <w:rFonts w:asciiTheme="minorBidi" w:hAnsiTheme="minorBidi"/>
          <w:b/>
          <w:bCs/>
          <w:sz w:val="24"/>
          <w:szCs w:val="24"/>
          <w:lang w:bidi="fa-IR"/>
        </w:rPr>
      </w:pPr>
    </w:p>
    <w:p w14:paraId="21E62ADB" w14:textId="77777777" w:rsidR="00F44111" w:rsidRDefault="00F44111" w:rsidP="0096187C">
      <w:pPr>
        <w:rPr>
          <w:rFonts w:asciiTheme="minorBidi" w:hAnsiTheme="minorBidi"/>
          <w:b/>
          <w:bCs/>
          <w:sz w:val="24"/>
          <w:szCs w:val="24"/>
          <w:lang w:bidi="fa-IR"/>
        </w:rPr>
      </w:pPr>
    </w:p>
    <w:p w14:paraId="1E95645B" w14:textId="77777777" w:rsidR="00F44111" w:rsidRDefault="00F44111" w:rsidP="0096187C">
      <w:pPr>
        <w:rPr>
          <w:rFonts w:asciiTheme="minorBidi" w:hAnsiTheme="minorBidi"/>
          <w:b/>
          <w:bCs/>
          <w:sz w:val="24"/>
          <w:szCs w:val="24"/>
          <w:lang w:bidi="fa-IR"/>
        </w:rPr>
      </w:pPr>
    </w:p>
    <w:p w14:paraId="48C3C25A" w14:textId="77777777" w:rsidR="00F44111" w:rsidRDefault="00F44111" w:rsidP="0096187C">
      <w:pPr>
        <w:rPr>
          <w:rFonts w:asciiTheme="minorBidi" w:hAnsiTheme="minorBidi"/>
          <w:b/>
          <w:bCs/>
          <w:sz w:val="24"/>
          <w:szCs w:val="24"/>
          <w:lang w:bidi="fa-IR"/>
        </w:rPr>
      </w:pPr>
    </w:p>
    <w:p w14:paraId="433E5F9D" w14:textId="77777777" w:rsidR="00F44111" w:rsidRPr="00F44111" w:rsidRDefault="00F44111" w:rsidP="0096187C">
      <w:pPr>
        <w:rPr>
          <w:rFonts w:asciiTheme="minorBidi" w:hAnsiTheme="minorBidi"/>
          <w:b/>
          <w:bCs/>
          <w:sz w:val="24"/>
          <w:szCs w:val="24"/>
          <w:lang w:bidi="fa-IR"/>
        </w:rPr>
      </w:pPr>
    </w:p>
    <w:p w14:paraId="3D42F5C4" w14:textId="1DF55737" w:rsidR="00C1293C" w:rsidRPr="00F44111" w:rsidRDefault="00DD67A5" w:rsidP="0096187C">
      <w:pPr>
        <w:rPr>
          <w:rFonts w:asciiTheme="majorBidi" w:hAnsiTheme="majorBidi" w:cstheme="majorBidi"/>
          <w:b/>
          <w:bCs/>
          <w:sz w:val="24"/>
          <w:szCs w:val="24"/>
          <w:lang w:bidi="fa-IR"/>
        </w:rPr>
      </w:pPr>
      <w:r w:rsidRPr="00F44111">
        <w:rPr>
          <w:rFonts w:asciiTheme="minorBidi" w:hAnsiTheme="minorBidi"/>
          <w:b/>
          <w:bCs/>
          <w:sz w:val="24"/>
          <w:szCs w:val="24"/>
          <w:lang w:bidi="fa-IR"/>
        </w:rPr>
        <w:lastRenderedPageBreak/>
        <w:t>Abstract</w:t>
      </w:r>
    </w:p>
    <w:p w14:paraId="2A74510A" w14:textId="77777777" w:rsidR="000D2F66" w:rsidRPr="000D2F66" w:rsidRDefault="000D2F66" w:rsidP="000D2F66">
      <w:pPr>
        <w:rPr>
          <w:rFonts w:asciiTheme="minorBidi" w:hAnsiTheme="minorBidi"/>
          <w:sz w:val="24"/>
          <w:szCs w:val="24"/>
          <w:lang w:bidi="fa-IR"/>
        </w:rPr>
      </w:pPr>
      <w:r w:rsidRPr="000D2F66">
        <w:rPr>
          <w:rFonts w:asciiTheme="minorBidi" w:hAnsiTheme="minorBidi"/>
          <w:b/>
          <w:bCs/>
          <w:sz w:val="24"/>
          <w:szCs w:val="24"/>
          <w:lang w:bidi="fa-IR"/>
        </w:rPr>
        <w:t>Introduction:</w:t>
      </w:r>
      <w:r w:rsidRPr="000D2F66">
        <w:rPr>
          <w:rFonts w:asciiTheme="minorBidi" w:hAnsiTheme="minorBidi"/>
          <w:sz w:val="24"/>
          <w:szCs w:val="24"/>
          <w:lang w:bidi="fa-IR"/>
        </w:rPr>
        <w:t xml:space="preserve"> Anxiety disorders affect nearly one-third of adults worldwide and are associated with complex neural circuitry that remains incompletely understood. This study explores the role of low-frequency oscillations in functional connectivity between the olfactory bulb (OB) and prefrontal cortex (PFC) during anxiety states.</w:t>
      </w:r>
    </w:p>
    <w:p w14:paraId="4B55C439" w14:textId="77777777" w:rsidR="000D2F66" w:rsidRPr="000D2F66" w:rsidRDefault="000D2F66" w:rsidP="000D2F66">
      <w:pPr>
        <w:rPr>
          <w:rFonts w:asciiTheme="minorBidi" w:hAnsiTheme="minorBidi"/>
          <w:sz w:val="24"/>
          <w:szCs w:val="24"/>
          <w:lang w:bidi="fa-IR"/>
        </w:rPr>
      </w:pPr>
      <w:r w:rsidRPr="000D2F66">
        <w:rPr>
          <w:rFonts w:asciiTheme="minorBidi" w:hAnsiTheme="minorBidi"/>
          <w:b/>
          <w:bCs/>
          <w:sz w:val="24"/>
          <w:szCs w:val="24"/>
          <w:lang w:bidi="fa-IR"/>
        </w:rPr>
        <w:t>Methods:</w:t>
      </w:r>
      <w:r w:rsidRPr="000D2F66">
        <w:rPr>
          <w:rFonts w:asciiTheme="minorBidi" w:hAnsiTheme="minorBidi"/>
          <w:sz w:val="24"/>
          <w:szCs w:val="24"/>
          <w:lang w:bidi="fa-IR"/>
        </w:rPr>
        <w:t xml:space="preserve"> Local field potentials (LFPs) were recorded simultaneously from OB and PFC in male Wistar rats during Elevated Plus Maze (EPM) and Open Field (OF) tasks. Granger causality analysis was applied to assess directional information flow across delta (1–4 Hz), alpha (8–12 Hz), and beta (13–30 Hz) frequency bands.</w:t>
      </w:r>
    </w:p>
    <w:p w14:paraId="3455A582" w14:textId="77777777" w:rsidR="000D2F66" w:rsidRPr="000D2F66" w:rsidRDefault="000D2F66" w:rsidP="000D2F66">
      <w:pPr>
        <w:rPr>
          <w:rFonts w:asciiTheme="minorBidi" w:hAnsiTheme="minorBidi"/>
          <w:sz w:val="24"/>
          <w:szCs w:val="24"/>
          <w:lang w:bidi="fa-IR"/>
        </w:rPr>
      </w:pPr>
      <w:r w:rsidRPr="000D2F66">
        <w:rPr>
          <w:rFonts w:asciiTheme="minorBidi" w:hAnsiTheme="minorBidi"/>
          <w:b/>
          <w:bCs/>
          <w:sz w:val="24"/>
          <w:szCs w:val="24"/>
          <w:lang w:bidi="fa-IR"/>
        </w:rPr>
        <w:t>Results:</w:t>
      </w:r>
      <w:r w:rsidRPr="000D2F66">
        <w:rPr>
          <w:rFonts w:asciiTheme="minorBidi" w:hAnsiTheme="minorBidi"/>
          <w:sz w:val="24"/>
          <w:szCs w:val="24"/>
          <w:lang w:bidi="fa-IR"/>
        </w:rPr>
        <w:t xml:space="preserve"> The analysis revealed a consistent pattern of bottom-up information transfer from OB to PFC, with significantly stronger Granger causality in the OB→PFC direction compared to PFC→OB across all frequency bands. This pattern indicates a dominant feedforward flow of information during anxiety states.</w:t>
      </w:r>
    </w:p>
    <w:p w14:paraId="54BB4E28" w14:textId="77777777" w:rsidR="000D2F66" w:rsidRPr="000D2F66" w:rsidRDefault="000D2F66" w:rsidP="000D2F66">
      <w:pPr>
        <w:rPr>
          <w:rFonts w:asciiTheme="minorBidi" w:hAnsiTheme="minorBidi"/>
          <w:sz w:val="24"/>
          <w:szCs w:val="24"/>
          <w:lang w:bidi="fa-IR"/>
        </w:rPr>
      </w:pPr>
      <w:r w:rsidRPr="000D2F66">
        <w:rPr>
          <w:rFonts w:asciiTheme="minorBidi" w:hAnsiTheme="minorBidi"/>
          <w:b/>
          <w:bCs/>
          <w:sz w:val="24"/>
          <w:szCs w:val="24"/>
          <w:lang w:bidi="fa-IR"/>
        </w:rPr>
        <w:t>Conclusion:</w:t>
      </w:r>
      <w:r w:rsidRPr="000D2F66">
        <w:rPr>
          <w:rFonts w:asciiTheme="minorBidi" w:hAnsiTheme="minorBidi"/>
          <w:sz w:val="24"/>
          <w:szCs w:val="24"/>
          <w:lang w:bidi="fa-IR"/>
        </w:rPr>
        <w:t xml:space="preserve"> These findings demonstrate that the OB-PFC axis operates through synchronized low-frequency oscillations, forming a hierarchical network during threat processing. Distinct frequency bands play complementary roles in this network, highlighting the importance of low-frequency oscillations in anxiety-related neural dynamics.</w:t>
      </w:r>
    </w:p>
    <w:p w14:paraId="57827CBA" w14:textId="59AE8944" w:rsidR="00F44111" w:rsidRPr="000E2D48" w:rsidRDefault="00F44111" w:rsidP="000D2F66">
      <w:pPr>
        <w:rPr>
          <w:rFonts w:asciiTheme="minorBidi" w:hAnsiTheme="minorBidi"/>
          <w:sz w:val="24"/>
          <w:szCs w:val="24"/>
          <w:lang w:bidi="fa-IR"/>
        </w:rPr>
      </w:pPr>
      <w:r>
        <w:rPr>
          <w:rFonts w:asciiTheme="minorBidi" w:hAnsiTheme="minorBidi"/>
          <w:sz w:val="24"/>
          <w:szCs w:val="24"/>
          <w:lang w:bidi="fa-IR"/>
        </w:rPr>
        <w:t xml:space="preserve">Key words: </w:t>
      </w:r>
      <w:r w:rsidR="000D2F66" w:rsidRPr="000D2F66">
        <w:rPr>
          <w:rFonts w:asciiTheme="minorBidi" w:hAnsiTheme="minorBidi"/>
          <w:sz w:val="24"/>
          <w:szCs w:val="24"/>
          <w:lang w:bidi="fa-IR"/>
        </w:rPr>
        <w:t>Anxiety, Olfactory bulb, Prefrontal cortex</w:t>
      </w:r>
      <w:r>
        <w:rPr>
          <w:rFonts w:asciiTheme="minorBidi" w:hAnsiTheme="minorBidi"/>
          <w:sz w:val="24"/>
          <w:szCs w:val="24"/>
          <w:lang w:bidi="fa-IR"/>
        </w:rPr>
        <w:t>.</w:t>
      </w:r>
    </w:p>
    <w:p w14:paraId="3AB89D97" w14:textId="77777777" w:rsidR="00F44111" w:rsidRPr="00F44111" w:rsidRDefault="00F44111" w:rsidP="0042176D">
      <w:pPr>
        <w:rPr>
          <w:rFonts w:asciiTheme="minorBidi" w:hAnsiTheme="minorBidi"/>
          <w:sz w:val="24"/>
          <w:szCs w:val="24"/>
          <w:lang w:bidi="fa-IR"/>
        </w:rPr>
      </w:pPr>
    </w:p>
    <w:p w14:paraId="2B6A6945" w14:textId="5DD2BF2A" w:rsidR="00262A9A" w:rsidRPr="00F44111" w:rsidRDefault="00262A9A" w:rsidP="0042176D">
      <w:pPr>
        <w:rPr>
          <w:rFonts w:asciiTheme="minorBidi" w:hAnsiTheme="minorBidi"/>
          <w:b/>
          <w:bCs/>
          <w:sz w:val="24"/>
          <w:szCs w:val="24"/>
          <w:lang w:bidi="fa-IR"/>
        </w:rPr>
      </w:pPr>
      <w:r w:rsidRPr="00F44111">
        <w:rPr>
          <w:rFonts w:asciiTheme="minorBidi" w:hAnsiTheme="minorBidi"/>
          <w:b/>
          <w:bCs/>
          <w:sz w:val="24"/>
          <w:szCs w:val="24"/>
          <w:lang w:bidi="fa-IR"/>
        </w:rPr>
        <w:t>Introduction</w:t>
      </w:r>
    </w:p>
    <w:p w14:paraId="54136668" w14:textId="24DF33D6" w:rsidR="00262A9A" w:rsidRPr="00F44111" w:rsidRDefault="00A843B0" w:rsidP="00F44111">
      <w:pPr>
        <w:rPr>
          <w:rFonts w:asciiTheme="minorBidi" w:hAnsiTheme="minorBidi"/>
          <w:sz w:val="24"/>
          <w:szCs w:val="24"/>
          <w:lang w:bidi="fa-IR"/>
        </w:rPr>
      </w:pPr>
      <w:bookmarkStart w:id="4" w:name="OLE_LINK1"/>
      <w:bookmarkStart w:id="5" w:name="_Hlk198803553"/>
      <w:r w:rsidRPr="00F44111">
        <w:rPr>
          <w:rFonts w:asciiTheme="minorBidi" w:hAnsiTheme="minorBidi"/>
          <w:sz w:val="24"/>
          <w:szCs w:val="24"/>
          <w:lang w:bidi="fa-IR"/>
        </w:rPr>
        <w:t>Anxiety represents a maladaptive psychological condition marked by disproportionate threat anticipation despite objective safety, resulting in measurable cognitive and behavioral impairments. Current psychiatric classifications recognize anxiety disorders as highly prevalent neuropsychiatric conditions, creating considerable personal distress and societal economic impacts through healthcare utilization and reduced productivity. Meta-analytic data from global mental health surveys indicate lifetime prevalence rates approaching one-third of adults worldwide meet diagnostic thresholds for clinically relevant anxiety manifestations</w:t>
      </w:r>
      <w:r w:rsidR="001C5778" w:rsidRPr="00F44111">
        <w:rPr>
          <w:rFonts w:asciiTheme="minorBidi" w:hAnsiTheme="minorBidi"/>
          <w:sz w:val="24"/>
          <w:szCs w:val="24"/>
          <w:lang w:bidi="fa-IR"/>
        </w:rPr>
        <w:fldChar w:fldCharType="begin"/>
      </w:r>
      <w:r w:rsidR="001C5778" w:rsidRPr="00F44111">
        <w:rPr>
          <w:rFonts w:asciiTheme="minorBidi" w:hAnsiTheme="minorBidi"/>
          <w:sz w:val="24"/>
          <w:szCs w:val="24"/>
          <w:lang w:bidi="fa-IR"/>
        </w:rPr>
        <w:instrText xml:space="preserve"> ADDIN EN.CITE &lt;EndNote&gt;&lt;Cite&gt;&lt;Author&gt;Bandelow&lt;/Author&gt;&lt;Year&gt;2015&lt;/Year&gt;&lt;RecNum&gt;2&lt;/RecNum&gt;&lt;DisplayText&gt;(1)&lt;/DisplayText&gt;&lt;record&gt;&lt;rec-number&gt;2&lt;/rec-number&gt;&lt;foreign-keys&gt;&lt;key app="EN" db-id="f2xf00fz2wwffqefr5spdvwap2a2fdsadt52" timestamp="1746254952"&gt;2&lt;/key&gt;&lt;/foreign-keys&gt;&lt;ref-type name="Journal Article"&gt;17&lt;/ref-type&gt;&lt;contributors&gt;&lt;authors&gt;&lt;author&gt;Bandelow, Borwin&lt;/author&gt;&lt;author&gt;Michaelis, Sophie&lt;/author&gt;&lt;/authors&gt;&lt;/contributors&gt;&lt;titles&gt;&lt;title&gt;Epidemiology of anxiety disorders in the 21st century&lt;/title&gt;&lt;secondary-title&gt;Dialogues in clinical neuroscience&lt;/secondary-title&gt;&lt;/titles&gt;&lt;periodical&gt;&lt;full-title&gt;Dialogues in clinical neuroscience&lt;/full-title&gt;&lt;/periodical&gt;&lt;pages&gt;327-335&lt;/pages&gt;&lt;volume&gt;17&lt;/volume&gt;&lt;number&gt;3&lt;/number&gt;&lt;dates&gt;&lt;year&gt;2015&lt;/year&gt;&lt;/dates&gt;&lt;isbn&gt;1958-5969&lt;/isbn&gt;&lt;urls&gt;&lt;/urls&gt;&lt;/record&gt;&lt;/Cite&gt;&lt;/EndNote&gt;</w:instrText>
      </w:r>
      <w:r w:rsidR="001C5778" w:rsidRPr="00F44111">
        <w:rPr>
          <w:rFonts w:asciiTheme="minorBidi" w:hAnsiTheme="minorBidi"/>
          <w:sz w:val="24"/>
          <w:szCs w:val="24"/>
          <w:lang w:bidi="fa-IR"/>
        </w:rPr>
        <w:fldChar w:fldCharType="separate"/>
      </w:r>
      <w:r w:rsidR="001C5778" w:rsidRPr="00F44111">
        <w:rPr>
          <w:rFonts w:asciiTheme="minorBidi" w:hAnsiTheme="minorBidi"/>
          <w:noProof/>
          <w:sz w:val="24"/>
          <w:szCs w:val="24"/>
          <w:lang w:bidi="fa-IR"/>
        </w:rPr>
        <w:t>(1)</w:t>
      </w:r>
      <w:r w:rsidR="001C5778" w:rsidRPr="00F44111">
        <w:rPr>
          <w:rFonts w:asciiTheme="minorBidi" w:hAnsiTheme="minorBidi"/>
          <w:sz w:val="24"/>
          <w:szCs w:val="24"/>
          <w:lang w:bidi="fa-IR"/>
        </w:rPr>
        <w:fldChar w:fldCharType="end"/>
      </w:r>
      <w:r w:rsidR="001C5778" w:rsidRPr="00F44111">
        <w:rPr>
          <w:rFonts w:asciiTheme="minorBidi" w:hAnsiTheme="minorBidi"/>
          <w:sz w:val="24"/>
          <w:szCs w:val="24"/>
          <w:lang w:bidi="fa-IR"/>
        </w:rPr>
        <w:t>.</w:t>
      </w:r>
      <w:r w:rsidRPr="00F44111">
        <w:rPr>
          <w:rFonts w:ascii="Segoe UI" w:hAnsi="Segoe UI" w:cs="Segoe UI"/>
          <w:color w:val="404040"/>
          <w:sz w:val="24"/>
          <w:szCs w:val="24"/>
          <w:shd w:val="clear" w:color="auto" w:fill="FFFFFF"/>
        </w:rPr>
        <w:t xml:space="preserve"> </w:t>
      </w:r>
      <w:r w:rsidRPr="00F44111">
        <w:rPr>
          <w:rFonts w:asciiTheme="minorBidi" w:hAnsiTheme="minorBidi"/>
          <w:sz w:val="24"/>
          <w:szCs w:val="24"/>
          <w:lang w:bidi="fa-IR"/>
        </w:rPr>
        <w:t xml:space="preserve">While the phenomenological characteristics of anxiety are well-documented, the neurobiological substrates mediating its expression - particularly regarding oscillatory dynamics in sensory-limbic networks - remain incompletely characterized, necessitating continued mechanistic </w:t>
      </w:r>
      <w:bookmarkEnd w:id="4"/>
      <w:r w:rsidR="00E650CA" w:rsidRPr="00F44111">
        <w:rPr>
          <w:rFonts w:asciiTheme="minorBidi" w:hAnsiTheme="minorBidi"/>
          <w:sz w:val="24"/>
          <w:szCs w:val="24"/>
          <w:lang w:bidi="fa-IR"/>
        </w:rPr>
        <w:t>exploration. Emerging</w:t>
      </w:r>
      <w:r w:rsidRPr="00F44111">
        <w:rPr>
          <w:rFonts w:asciiTheme="minorBidi" w:hAnsiTheme="minorBidi"/>
          <w:sz w:val="24"/>
          <w:szCs w:val="24"/>
          <w:lang w:bidi="fa-IR"/>
        </w:rPr>
        <w:t xml:space="preserve"> evidence suggests the olfactory bulb (OB), positioned in the rostral forebrain, serves functions extending far beyond its canonical role in odor perception. Neurophysiological studies reveal the OB integrates both chemosensory and mechanosensory inputs, with nasal airflow dynamics generating distinct oscillatory patterns in local neuronal ensembles</w:t>
      </w:r>
      <w:r w:rsidR="00262A9A" w:rsidRPr="00F44111">
        <w:rPr>
          <w:rFonts w:asciiTheme="minorBidi" w:hAnsiTheme="minorBidi"/>
          <w:sz w:val="24"/>
          <w:szCs w:val="24"/>
          <w:lang w:bidi="fa-IR"/>
        </w:rPr>
        <w:t xml:space="preserve"> </w:t>
      </w:r>
      <w:r w:rsidR="001C5778" w:rsidRPr="00F44111">
        <w:rPr>
          <w:rFonts w:asciiTheme="minorBidi" w:hAnsiTheme="minorBidi"/>
          <w:sz w:val="24"/>
          <w:szCs w:val="24"/>
          <w:lang w:bidi="fa-IR"/>
        </w:rPr>
        <w:fldChar w:fldCharType="begin"/>
      </w:r>
      <w:r w:rsidR="001C5778" w:rsidRPr="00F44111">
        <w:rPr>
          <w:rFonts w:asciiTheme="minorBidi" w:hAnsiTheme="minorBidi"/>
          <w:sz w:val="24"/>
          <w:szCs w:val="24"/>
          <w:lang w:bidi="fa-IR"/>
        </w:rPr>
        <w:instrText xml:space="preserve"> ADDIN EN.CITE &lt;EndNote&gt;&lt;Cite&gt;&lt;Author&gt;Connelly&lt;/Author&gt;&lt;Year&gt;2015&lt;/Year&gt;&lt;RecNum&gt;4&lt;/RecNum&gt;&lt;DisplayText&gt;(2, 3)&lt;/DisplayText&gt;&lt;record&gt;&lt;rec-number&gt;4&lt;/rec-number&gt;&lt;foreign-keys&gt;&lt;key app="EN" db-id="f2xf00fz2wwffqefr5spdvwap2a2fdsadt52" timestamp="1746268676"&gt;4&lt;/key&gt;&lt;/foreign-keys&gt;&lt;ref-type name="Journal Article"&gt;17&lt;/ref-type&gt;&lt;contributors&gt;&lt;authors&gt;&lt;author&gt;Connelly, Timothy&lt;/author&gt;&lt;author&gt;Yu, Yiqun&lt;/author&gt;&lt;author&gt;Grosmaitre, Xavier&lt;/author&gt;&lt;author&gt;Wang, Jue&lt;/author&gt;&lt;author&gt;Santarelli, Lindsey C&lt;/author&gt;&lt;author&gt;Savigner, Agnes&lt;/author&gt;&lt;author&gt;Qiao, Xin&lt;/author&gt;&lt;author&gt;Wang, Zhenshan&lt;/author&gt;&lt;author&gt;Storm, Daniel R&lt;/author&gt;&lt;author&gt;Ma, Minghong&lt;/author&gt;&lt;/authors&gt;&lt;/contributors&gt;&lt;titles&gt;&lt;title&gt;G protein-coupled odorant receptors underlie mechanosensitivity in mammalian olfactory sensory neurons&lt;/title&gt;&lt;secondary-title&gt;Proceedings of the National Academy of Sciences&lt;/secondary-title&gt;&lt;/titles&gt;&lt;periodical&gt;&lt;full-title&gt;Proceedings of the National Academy of Sciences&lt;/full-title&gt;&lt;/periodical&gt;&lt;pages&gt;590-595&lt;/pages&gt;&lt;volume&gt;112&lt;/volume&gt;&lt;number&gt;2&lt;/number&gt;&lt;dates&gt;&lt;year&gt;2015&lt;/year&gt;&lt;/dates&gt;&lt;isbn&gt;0027-8424&lt;/isbn&gt;&lt;urls&gt;&lt;/urls&gt;&lt;/record&gt;&lt;/Cite&gt;&lt;Cite&gt;&lt;Author&gt;Grosmaitre&lt;/Author&gt;&lt;Year&gt;2007&lt;/Year&gt;&lt;RecNum&gt;5&lt;/RecNum&gt;&lt;record&gt;&lt;rec-number&gt;5&lt;/rec-number&gt;&lt;foreign-keys&gt;&lt;key app="EN" db-id="f2xf00fz2wwffqefr5spdvwap2a2fdsadt52" timestamp="1746268728"&gt;5&lt;/key&gt;&lt;/foreign-keys&gt;&lt;ref-type name="Journal Article"&gt;17&lt;/ref-type&gt;&lt;contributors&gt;&lt;authors&gt;&lt;author&gt;Grosmaitre, Xavier&lt;/author&gt;&lt;author&gt;Santarelli, Lindsey C&lt;/author&gt;&lt;author&gt;Tan, Jie&lt;/author&gt;&lt;author&gt;Luo, Minmin&lt;/author&gt;&lt;author&gt;Ma, Minghong&lt;/author&gt;&lt;/authors&gt;&lt;/contributors&gt;&lt;titles&gt;&lt;title&gt;Dual functions of mammalian olfactory sensory neurons as odor detectors and mechanical sensors&lt;/title&gt;&lt;secondary-title&gt;Nature neuroscience&lt;/secondary-title&gt;&lt;/titles&gt;&lt;periodical&gt;&lt;full-title&gt;Nature neuroscience&lt;/full-title&gt;&lt;/periodical&gt;&lt;pages&gt;348-354&lt;/pages&gt;&lt;volume&gt;10&lt;/volume&gt;&lt;number&gt;3&lt;/number&gt;&lt;dates&gt;&lt;year&gt;2007&lt;/year&gt;&lt;/dates&gt;&lt;isbn&gt;1097-6256&lt;/isbn&gt;&lt;urls&gt;&lt;/urls&gt;&lt;/record&gt;&lt;/Cite&gt;&lt;/EndNote&gt;</w:instrText>
      </w:r>
      <w:r w:rsidR="001C5778" w:rsidRPr="00F44111">
        <w:rPr>
          <w:rFonts w:asciiTheme="minorBidi" w:hAnsiTheme="minorBidi"/>
          <w:sz w:val="24"/>
          <w:szCs w:val="24"/>
          <w:lang w:bidi="fa-IR"/>
        </w:rPr>
        <w:fldChar w:fldCharType="separate"/>
      </w:r>
      <w:r w:rsidR="001C5778" w:rsidRPr="00F44111">
        <w:rPr>
          <w:rFonts w:asciiTheme="minorBidi" w:hAnsiTheme="minorBidi"/>
          <w:noProof/>
          <w:sz w:val="24"/>
          <w:szCs w:val="24"/>
          <w:lang w:bidi="fa-IR"/>
        </w:rPr>
        <w:t>(2, 3)</w:t>
      </w:r>
      <w:r w:rsidR="001C5778" w:rsidRPr="00F44111">
        <w:rPr>
          <w:rFonts w:asciiTheme="minorBidi" w:hAnsiTheme="minorBidi"/>
          <w:sz w:val="24"/>
          <w:szCs w:val="24"/>
          <w:lang w:bidi="fa-IR"/>
        </w:rPr>
        <w:fldChar w:fldCharType="end"/>
      </w:r>
      <w:r w:rsidR="00262A9A" w:rsidRPr="00F44111">
        <w:rPr>
          <w:rFonts w:asciiTheme="minorBidi" w:hAnsiTheme="minorBidi"/>
          <w:sz w:val="24"/>
          <w:szCs w:val="24"/>
          <w:lang w:bidi="fa-IR"/>
        </w:rPr>
        <w:t xml:space="preserve">. </w:t>
      </w:r>
      <w:r w:rsidRPr="00F44111">
        <w:rPr>
          <w:rFonts w:asciiTheme="minorBidi" w:hAnsiTheme="minorBidi"/>
          <w:sz w:val="24"/>
          <w:szCs w:val="24"/>
          <w:lang w:bidi="fa-IR"/>
        </w:rPr>
        <w:t xml:space="preserve">The OB's robust anatomical connectivity with limbic and cortical structures—particularly its reciprocal projections to the prefrontal cortex (PFC), amygdala, and hippocampal formation—positions it as a potential modulator of affective </w:t>
      </w:r>
      <w:r w:rsidRPr="00F44111">
        <w:rPr>
          <w:rFonts w:asciiTheme="minorBidi" w:hAnsiTheme="minorBidi"/>
          <w:sz w:val="24"/>
          <w:szCs w:val="24"/>
          <w:lang w:bidi="fa-IR"/>
        </w:rPr>
        <w:lastRenderedPageBreak/>
        <w:t>states</w:t>
      </w:r>
      <w:r w:rsidR="001C5778" w:rsidRPr="00F44111">
        <w:rPr>
          <w:rFonts w:asciiTheme="minorBidi" w:hAnsiTheme="minorBidi"/>
          <w:sz w:val="24"/>
          <w:szCs w:val="24"/>
          <w:lang w:bidi="fa-IR"/>
        </w:rPr>
        <w:fldChar w:fldCharType="begin"/>
      </w:r>
      <w:r w:rsidR="005147EA" w:rsidRPr="00F44111">
        <w:rPr>
          <w:rFonts w:asciiTheme="minorBidi" w:hAnsiTheme="minorBidi"/>
          <w:sz w:val="24"/>
          <w:szCs w:val="24"/>
          <w:lang w:bidi="fa-IR"/>
        </w:rPr>
        <w:instrText xml:space="preserve"> ADDIN EN.CITE &lt;EndNote&gt;&lt;Cite&gt;&lt;Author&gt;Cinelli&lt;/Author&gt;&lt;Year&gt;1987&lt;/Year&gt;&lt;RecNum&gt;6&lt;/RecNum&gt;&lt;DisplayText&gt;(4, 5)&lt;/DisplayText&gt;&lt;record&gt;&lt;rec-number&gt;6&lt;/rec-number&gt;&lt;foreign-keys&gt;&lt;key app="EN" db-id="f2xf00fz2wwffqefr5spdvwap2a2fdsadt52" timestamp="1746268878"&gt;6&lt;/key&gt;&lt;/foreign-keys&gt;&lt;ref-type name="Journal Article"&gt;17&lt;/ref-type&gt;&lt;contributors&gt;&lt;authors&gt;&lt;author&gt;Cinelli, AR&lt;/author&gt;&lt;author&gt;Ferreyra-Moyano, H&lt;/author&gt;&lt;author&gt;Barragan, E&lt;/author&gt;&lt;/authors&gt;&lt;/contributors&gt;&lt;titles&gt;&lt;title&gt;Reciprocal functional connections of the olfactory bulbs and other olfactory related areas with the prefrontal cortex&lt;/title&gt;&lt;secondary-title&gt;Brain research bulletin&lt;/secondary-title&gt;&lt;/titles&gt;&lt;periodical&gt;&lt;full-title&gt;Brain research bulletin&lt;/full-title&gt;&lt;/periodical&gt;&lt;pages&gt;651-661&lt;/pages&gt;&lt;volume&gt;19&lt;/volume&gt;&lt;number&gt;6&lt;/number&gt;&lt;dates&gt;&lt;year&gt;1987&lt;/year&gt;&lt;/dates&gt;&lt;isbn&gt;0361-9230&lt;/isbn&gt;&lt;urls&gt;&lt;/urls&gt;&lt;/record&gt;&lt;/Cite&gt;&lt;Cite&gt;&lt;Author&gt;Stenwall&lt;/Author&gt;&lt;Year&gt;2025&lt;/Year&gt;&lt;RecNum&gt;7&lt;/RecNum&gt;&lt;record&gt;&lt;rec-number&gt;7&lt;/rec-number&gt;&lt;foreign-keys&gt;&lt;key app="EN" db-id="f2xf00fz2wwffqefr5spdvwap2a2fdsadt52" timestamp="1746268938"&gt;7&lt;/key&gt;&lt;/foreign-keys&gt;&lt;ref-type name="Journal Article"&gt;17&lt;/ref-type&gt;&lt;contributors&gt;&lt;authors&gt;&lt;author&gt;Stenwall, Anton&lt;/author&gt;&lt;author&gt;Uggla, Aino-Linnea&lt;/author&gt;&lt;author&gt;Weibust, David&lt;/author&gt;&lt;author&gt;Fahlström, Markus&lt;/author&gt;&lt;author&gt;Ryttlefors, Mats&lt;/author&gt;&lt;author&gt;Latini, Francesco&lt;/author&gt;&lt;/authors&gt;&lt;/contributors&gt;&lt;titles&gt;&lt;title&gt;The Bulb, the Brain and the Being: New Insights into Olfactory System Anatomy, Organization and Connectivity&lt;/title&gt;&lt;secondary-title&gt;Brain Sciences&lt;/secondary-title&gt;&lt;/titles&gt;&lt;periodical&gt;&lt;full-title&gt;Brain Sciences&lt;/full-title&gt;&lt;/periodical&gt;&lt;pages&gt;368&lt;/pages&gt;&lt;volume&gt;15&lt;/volume&gt;&lt;number&gt;4&lt;/number&gt;&lt;dates&gt;&lt;year&gt;2025&lt;/year&gt;&lt;/dates&gt;&lt;isbn&gt;2076-3425&lt;/isbn&gt;&lt;urls&gt;&lt;/urls&gt;&lt;/record&gt;&lt;/Cite&gt;&lt;/EndNote&gt;</w:instrText>
      </w:r>
      <w:r w:rsidR="001C5778" w:rsidRPr="00F44111">
        <w:rPr>
          <w:rFonts w:asciiTheme="minorBidi" w:hAnsiTheme="minorBidi"/>
          <w:sz w:val="24"/>
          <w:szCs w:val="24"/>
          <w:lang w:bidi="fa-IR"/>
        </w:rPr>
        <w:fldChar w:fldCharType="separate"/>
      </w:r>
      <w:r w:rsidR="005147EA" w:rsidRPr="00F44111">
        <w:rPr>
          <w:rFonts w:asciiTheme="minorBidi" w:hAnsiTheme="minorBidi"/>
          <w:noProof/>
          <w:sz w:val="24"/>
          <w:szCs w:val="24"/>
          <w:lang w:bidi="fa-IR"/>
        </w:rPr>
        <w:t>(4, 5)</w:t>
      </w:r>
      <w:r w:rsidR="001C5778" w:rsidRPr="00F44111">
        <w:rPr>
          <w:rFonts w:asciiTheme="minorBidi" w:hAnsiTheme="minorBidi"/>
          <w:sz w:val="24"/>
          <w:szCs w:val="24"/>
          <w:lang w:bidi="fa-IR"/>
        </w:rPr>
        <w:fldChar w:fldCharType="end"/>
      </w:r>
      <w:r w:rsidR="00262A9A" w:rsidRPr="00F44111">
        <w:rPr>
          <w:rFonts w:asciiTheme="minorBidi" w:hAnsiTheme="minorBidi"/>
          <w:sz w:val="24"/>
          <w:szCs w:val="24"/>
          <w:lang w:bidi="fa-IR"/>
        </w:rPr>
        <w:t xml:space="preserve">. </w:t>
      </w:r>
      <w:r w:rsidRPr="00F44111">
        <w:rPr>
          <w:rFonts w:asciiTheme="minorBidi" w:hAnsiTheme="minorBidi"/>
          <w:sz w:val="24"/>
          <w:szCs w:val="24"/>
          <w:lang w:bidi="fa-IR"/>
        </w:rPr>
        <w:t>The PFC, renowned for its executive functions, orchestrates complex cognitive operations ranging from working memory to emotional valence assignment</w:t>
      </w:r>
      <w:r w:rsidR="005147EA" w:rsidRPr="00F44111">
        <w:rPr>
          <w:rFonts w:asciiTheme="minorBidi" w:hAnsiTheme="minorBidi"/>
          <w:sz w:val="24"/>
          <w:szCs w:val="24"/>
          <w:lang w:bidi="fa-IR"/>
        </w:rPr>
        <w:fldChar w:fldCharType="begin"/>
      </w:r>
      <w:r w:rsidR="005147EA" w:rsidRPr="00F44111">
        <w:rPr>
          <w:rFonts w:asciiTheme="minorBidi" w:hAnsiTheme="minorBidi"/>
          <w:sz w:val="24"/>
          <w:szCs w:val="24"/>
          <w:lang w:bidi="fa-IR"/>
        </w:rPr>
        <w:instrText xml:space="preserve"> ADDIN EN.CITE &lt;EndNote&gt;&lt;Cite&gt;&lt;Author&gt;Euston&lt;/Author&gt;&lt;Year&gt;2012&lt;/Year&gt;&lt;RecNum&gt;10&lt;/RecNum&gt;&lt;DisplayText&gt;(6, 7)&lt;/DisplayText&gt;&lt;record&gt;&lt;rec-number&gt;10&lt;/rec-number&gt;&lt;foreign-keys&gt;&lt;key app="EN" db-id="f2xf00fz2wwffqefr5spdvwap2a2fdsadt52" timestamp="1746269118"&gt;10&lt;/key&gt;&lt;/foreign-keys&gt;&lt;ref-type name="Journal Article"&gt;17&lt;/ref-type&gt;&lt;contributors&gt;&lt;authors&gt;&lt;author&gt;Euston, David R&lt;/author&gt;&lt;author&gt;Gruber, Aaron J&lt;/author&gt;&lt;author&gt;McNaughton, Bruce L&lt;/author&gt;&lt;/authors&gt;&lt;/contributors&gt;&lt;titles&gt;&lt;title&gt;The role of medial prefrontal cortex in memory and decision making&lt;/title&gt;&lt;secondary-title&gt;Neuron&lt;/secondary-title&gt;&lt;/titles&gt;&lt;periodical&gt;&lt;full-title&gt;Neuron&lt;/full-title&gt;&lt;/periodical&gt;&lt;pages&gt;1057-1070&lt;/pages&gt;&lt;volume&gt;76&lt;/volume&gt;&lt;number&gt;6&lt;/number&gt;&lt;dates&gt;&lt;year&gt;2012&lt;/year&gt;&lt;/dates&gt;&lt;isbn&gt;0896-6273&lt;/isbn&gt;&lt;urls&gt;&lt;/urls&gt;&lt;/record&gt;&lt;/Cite&gt;&lt;Cite&gt;&lt;Author&gt;Price&lt;/Author&gt;&lt;Year&gt;1999&lt;/Year&gt;&lt;RecNum&gt;9&lt;/RecNum&gt;&lt;record&gt;&lt;rec-number&gt;9&lt;/rec-number&gt;&lt;foreign-keys&gt;&lt;key app="EN" db-id="f2xf00fz2wwffqefr5spdvwap2a2fdsadt52" timestamp="1746269061"&gt;9&lt;/key&gt;&lt;/foreign-keys&gt;&lt;ref-type name="Journal Article"&gt;17&lt;/ref-type&gt;&lt;contributors&gt;&lt;authors&gt;&lt;author&gt;Price, Joseph L&lt;/author&gt;&lt;/authors&gt;&lt;/contributors&gt;&lt;titles&gt;&lt;title&gt;Prefrontal cortical networks related to visceral function and mood&lt;/title&gt;&lt;secondary-title&gt;Annals of the new York Academy of Sciences&lt;/secondary-title&gt;&lt;/titles&gt;&lt;periodical&gt;&lt;full-title&gt;Annals of the new York Academy of Sciences&lt;/full-title&gt;&lt;/periodical&gt;&lt;pages&gt;383-396&lt;/pages&gt;&lt;volume&gt;877&lt;/volume&gt;&lt;number&gt;1&lt;/number&gt;&lt;dates&gt;&lt;year&gt;1999&lt;/year&gt;&lt;/dates&gt;&lt;isbn&gt;0077-8923&lt;/isbn&gt;&lt;urls&gt;&lt;/urls&gt;&lt;/record&gt;&lt;/Cite&gt;&lt;/EndNote&gt;</w:instrText>
      </w:r>
      <w:r w:rsidR="005147EA" w:rsidRPr="00F44111">
        <w:rPr>
          <w:rFonts w:asciiTheme="minorBidi" w:hAnsiTheme="minorBidi"/>
          <w:sz w:val="24"/>
          <w:szCs w:val="24"/>
          <w:lang w:bidi="fa-IR"/>
        </w:rPr>
        <w:fldChar w:fldCharType="separate"/>
      </w:r>
      <w:r w:rsidR="005147EA" w:rsidRPr="00F44111">
        <w:rPr>
          <w:rFonts w:asciiTheme="minorBidi" w:hAnsiTheme="minorBidi"/>
          <w:noProof/>
          <w:sz w:val="24"/>
          <w:szCs w:val="24"/>
          <w:lang w:bidi="fa-IR"/>
        </w:rPr>
        <w:t>(6, 7)</w:t>
      </w:r>
      <w:r w:rsidR="005147EA" w:rsidRPr="00F44111">
        <w:rPr>
          <w:rFonts w:asciiTheme="minorBidi" w:hAnsiTheme="minorBidi"/>
          <w:sz w:val="24"/>
          <w:szCs w:val="24"/>
          <w:lang w:bidi="fa-IR"/>
        </w:rPr>
        <w:fldChar w:fldCharType="end"/>
      </w:r>
      <w:r w:rsidR="00262A9A" w:rsidRPr="00F44111">
        <w:rPr>
          <w:rFonts w:asciiTheme="minorBidi" w:hAnsiTheme="minorBidi"/>
          <w:sz w:val="24"/>
          <w:szCs w:val="24"/>
          <w:lang w:bidi="fa-IR"/>
        </w:rPr>
        <w:t xml:space="preserve">. </w:t>
      </w:r>
      <w:r w:rsidRPr="00F44111">
        <w:rPr>
          <w:rFonts w:asciiTheme="minorBidi" w:hAnsiTheme="minorBidi"/>
          <w:sz w:val="24"/>
          <w:szCs w:val="24"/>
          <w:lang w:bidi="fa-IR"/>
        </w:rPr>
        <w:t xml:space="preserve"> Its well-documented involvement in threat appraisal and fear circuitry modulation suggests the OB-PFC axis may represent a critical pathway for anxiety pathophysiology </w:t>
      </w:r>
      <w:r w:rsidR="005147EA" w:rsidRPr="00F44111">
        <w:rPr>
          <w:rFonts w:asciiTheme="minorBidi" w:hAnsiTheme="minorBidi"/>
          <w:sz w:val="24"/>
          <w:szCs w:val="24"/>
          <w:lang w:bidi="fa-IR"/>
        </w:rPr>
        <w:fldChar w:fldCharType="begin">
          <w:fldData xml:space="preserve">PEVuZE5vdGU+PENpdGU+PEF1dGhvcj5HaWxtYXJ0aW48L0F1dGhvcj48WWVhcj4yMDE0PC9ZZWFy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=
</w:fldData>
        </w:fldChar>
      </w:r>
      <w:r w:rsidR="005147EA" w:rsidRPr="00F44111">
        <w:rPr>
          <w:rFonts w:asciiTheme="minorBidi" w:hAnsiTheme="minorBidi"/>
          <w:sz w:val="24"/>
          <w:szCs w:val="24"/>
          <w:lang w:bidi="fa-IR"/>
        </w:rPr>
        <w:instrText xml:space="preserve"> ADDIN EN.CITE </w:instrText>
      </w:r>
      <w:r w:rsidR="005147EA" w:rsidRPr="00F44111">
        <w:rPr>
          <w:rFonts w:asciiTheme="minorBidi" w:hAnsiTheme="minorBidi"/>
          <w:sz w:val="24"/>
          <w:szCs w:val="24"/>
          <w:lang w:bidi="fa-IR"/>
        </w:rPr>
        <w:fldChar w:fldCharType="begin">
          <w:fldData xml:space="preserve">PEVuZE5vdGU+PENpdGU+PEF1dGhvcj5HaWxtYXJ0aW48L0F1dGhvcj48WWVhcj4yMDE0PC9ZZWFy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=
</w:fldData>
        </w:fldChar>
      </w:r>
      <w:r w:rsidR="005147EA" w:rsidRPr="00F44111">
        <w:rPr>
          <w:rFonts w:asciiTheme="minorBidi" w:hAnsiTheme="minorBidi"/>
          <w:sz w:val="24"/>
          <w:szCs w:val="24"/>
          <w:lang w:bidi="fa-IR"/>
        </w:rPr>
        <w:instrText xml:space="preserve"> ADDIN EN.CITE.DATA </w:instrText>
      </w:r>
      <w:r w:rsidR="005147EA" w:rsidRPr="00F44111">
        <w:rPr>
          <w:rFonts w:asciiTheme="minorBidi" w:hAnsiTheme="minorBidi"/>
          <w:sz w:val="24"/>
          <w:szCs w:val="24"/>
          <w:lang w:bidi="fa-IR"/>
        </w:rPr>
      </w:r>
      <w:r w:rsidR="005147EA" w:rsidRPr="00F44111">
        <w:rPr>
          <w:rFonts w:asciiTheme="minorBidi" w:hAnsiTheme="minorBidi"/>
          <w:sz w:val="24"/>
          <w:szCs w:val="24"/>
          <w:lang w:bidi="fa-IR"/>
        </w:rPr>
        <w:fldChar w:fldCharType="end"/>
      </w:r>
      <w:r w:rsidR="005147EA" w:rsidRPr="00F44111">
        <w:rPr>
          <w:rFonts w:asciiTheme="minorBidi" w:hAnsiTheme="minorBidi"/>
          <w:sz w:val="24"/>
          <w:szCs w:val="24"/>
          <w:lang w:bidi="fa-IR"/>
        </w:rPr>
      </w:r>
      <w:r w:rsidR="005147EA" w:rsidRPr="00F44111">
        <w:rPr>
          <w:rFonts w:asciiTheme="minorBidi" w:hAnsiTheme="minorBidi"/>
          <w:sz w:val="24"/>
          <w:szCs w:val="24"/>
          <w:lang w:bidi="fa-IR"/>
        </w:rPr>
        <w:fldChar w:fldCharType="separate"/>
      </w:r>
      <w:r w:rsidR="005147EA" w:rsidRPr="00F44111">
        <w:rPr>
          <w:rFonts w:asciiTheme="minorBidi" w:hAnsiTheme="minorBidi"/>
          <w:noProof/>
          <w:sz w:val="24"/>
          <w:szCs w:val="24"/>
          <w:lang w:bidi="fa-IR"/>
        </w:rPr>
        <w:t>(8-10)</w:t>
      </w:r>
      <w:r w:rsidR="005147EA" w:rsidRPr="00F44111">
        <w:rPr>
          <w:rFonts w:asciiTheme="minorBidi" w:hAnsiTheme="minorBidi"/>
          <w:sz w:val="24"/>
          <w:szCs w:val="24"/>
          <w:lang w:bidi="fa-IR"/>
        </w:rPr>
        <w:fldChar w:fldCharType="end"/>
      </w:r>
      <w:r w:rsidR="00262A9A" w:rsidRPr="00F44111">
        <w:rPr>
          <w:rFonts w:asciiTheme="minorBidi" w:hAnsiTheme="minorBidi"/>
          <w:sz w:val="24"/>
          <w:szCs w:val="24"/>
          <w:lang w:bidi="fa-IR"/>
        </w:rPr>
        <w:t xml:space="preserve">. </w:t>
      </w:r>
      <w:r w:rsidRPr="00F44111">
        <w:rPr>
          <w:rFonts w:asciiTheme="minorBidi" w:hAnsiTheme="minorBidi"/>
          <w:sz w:val="24"/>
          <w:szCs w:val="24"/>
          <w:lang w:bidi="fa-IR"/>
        </w:rPr>
        <w:t>This putative functional coupling between olfactory and prefrontal networks, particularly through synchronized oscillatory activity, presents an important yet underexplored dimension in affective neuroscience research.</w:t>
      </w:r>
      <w:r w:rsidR="00F44111">
        <w:rPr>
          <w:rFonts w:asciiTheme="minorBidi" w:hAnsiTheme="minorBidi"/>
          <w:sz w:val="24"/>
          <w:szCs w:val="24"/>
          <w:lang w:bidi="fa-IR"/>
        </w:rPr>
        <w:t xml:space="preserve"> </w:t>
      </w:r>
      <w:r w:rsidR="007D5C72" w:rsidRPr="00F44111">
        <w:rPr>
          <w:rFonts w:asciiTheme="minorBidi" w:hAnsiTheme="minorBidi"/>
          <w:sz w:val="24"/>
          <w:szCs w:val="24"/>
          <w:lang w:bidi="fa-IR"/>
        </w:rPr>
        <w:t>Local field potentials (LFPs) serve as fundamental electrophysiological markers of population-level neural activity, arising from the spatial integration of transmembrane currents within localized neuronal ensembles. Contemporary research indicates that LFP signals contain multiplexed information, simultaneously representing both focal circuit dynamics and distributed network interactions</w:t>
      </w:r>
      <w:r w:rsidR="005147EA" w:rsidRPr="00F44111">
        <w:rPr>
          <w:rFonts w:asciiTheme="minorBidi" w:hAnsiTheme="minorBidi"/>
          <w:sz w:val="24"/>
          <w:szCs w:val="24"/>
          <w:lang w:bidi="fa-IR"/>
        </w:rPr>
        <w:fldChar w:fldCharType="begin"/>
      </w:r>
      <w:r w:rsidR="005147EA" w:rsidRPr="00F44111">
        <w:rPr>
          <w:rFonts w:asciiTheme="minorBidi" w:hAnsiTheme="minorBidi"/>
          <w:sz w:val="24"/>
          <w:szCs w:val="24"/>
          <w:lang w:bidi="fa-IR"/>
        </w:rPr>
        <w:instrText xml:space="preserve"> ADDIN EN.CITE &lt;EndNote&gt;&lt;Cite&gt;&lt;Author&gt;Gallego-Carracedo&lt;/Author&gt;&lt;Year&gt;2022&lt;/Year&gt;&lt;RecNum&gt;3&lt;/RecNum&gt;&lt;DisplayText&gt;(11)&lt;/DisplayText&gt;&lt;record&gt;&lt;rec-number&gt;3&lt;/rec-number&gt;&lt;foreign-keys&gt;&lt;key app="EN" db-id="f2xf00fz2wwffqefr5spdvwap2a2fdsadt52" timestamp="1746258837"&gt;3&lt;/key&gt;&lt;/foreign-keys&gt;&lt;ref-type name="Journal Article"&gt;17&lt;/ref-type&gt;&lt;contributors&gt;&lt;authors&gt;&lt;author&gt;Gallego-Carracedo, Cecilia&lt;/author&gt;&lt;author&gt;Perich, Matthew G&lt;/author&gt;&lt;author&gt;Chowdhury, Raeed H&lt;/author&gt;&lt;author&gt;Miller, Lee E&lt;/author&gt;&lt;author&gt;Gallego, Juan Álvaro&lt;/author&gt;&lt;/authors&gt;&lt;/contributors&gt;&lt;titles&gt;&lt;title&gt;Local field potentials reflect cortical population dynamics in a region-specific and frequency-dependent manner&lt;/title&gt;&lt;secondary-title&gt;Elife&lt;/secondary-title&gt;&lt;/titles&gt;&lt;periodical&gt;&lt;full-title&gt;Elife&lt;/full-title&gt;&lt;/periodical&gt;&lt;pages&gt;e73155&lt;/pages&gt;&lt;volume&gt;11&lt;/volume&gt;&lt;dates&gt;&lt;year&gt;2022&lt;/year&gt;&lt;/dates&gt;&lt;isbn&gt;2050-084X&lt;/isbn&gt;&lt;urls&gt;&lt;/urls&gt;&lt;/record&gt;&lt;/Cite&gt;&lt;/EndNote&gt;</w:instrText>
      </w:r>
      <w:r w:rsidR="005147EA" w:rsidRPr="00F44111">
        <w:rPr>
          <w:rFonts w:asciiTheme="minorBidi" w:hAnsiTheme="minorBidi"/>
          <w:sz w:val="24"/>
          <w:szCs w:val="24"/>
          <w:lang w:bidi="fa-IR"/>
        </w:rPr>
        <w:fldChar w:fldCharType="separate"/>
      </w:r>
      <w:r w:rsidR="005147EA" w:rsidRPr="00F44111">
        <w:rPr>
          <w:rFonts w:asciiTheme="minorBidi" w:hAnsiTheme="minorBidi"/>
          <w:noProof/>
          <w:sz w:val="24"/>
          <w:szCs w:val="24"/>
          <w:lang w:bidi="fa-IR"/>
        </w:rPr>
        <w:t>(11)</w:t>
      </w:r>
      <w:r w:rsidR="005147EA" w:rsidRPr="00F44111">
        <w:rPr>
          <w:rFonts w:asciiTheme="minorBidi" w:hAnsiTheme="minorBidi"/>
          <w:sz w:val="24"/>
          <w:szCs w:val="24"/>
          <w:lang w:bidi="fa-IR"/>
        </w:rPr>
        <w:fldChar w:fldCharType="end"/>
      </w:r>
      <w:r w:rsidR="00262A9A" w:rsidRPr="00F44111">
        <w:rPr>
          <w:rFonts w:asciiTheme="minorBidi" w:hAnsiTheme="minorBidi"/>
          <w:sz w:val="24"/>
          <w:szCs w:val="24"/>
          <w:lang w:bidi="fa-IR"/>
        </w:rPr>
        <w:t xml:space="preserve">. </w:t>
      </w:r>
      <w:r w:rsidR="007D5C72" w:rsidRPr="00F44111">
        <w:rPr>
          <w:rFonts w:asciiTheme="minorBidi" w:hAnsiTheme="minorBidi"/>
          <w:sz w:val="24"/>
          <w:szCs w:val="24"/>
          <w:lang w:bidi="fa-IR"/>
        </w:rPr>
        <w:t>These extracellular voltage fluctuations exhibit characteristic spectral profiles, conventionally categorized into five principal frequency bands: delta (δ, 1-4 Hz), theta (θ, 4-8 Hz), alpha (α, 8-12 Hz), beta (β, 13-30 Hz), and gamma (γ, 30-100 Hz) oscillations, each demonstrating unique functional correlates with cognitive processes and behavioral states.</w:t>
      </w:r>
      <w:r w:rsidR="00F44111">
        <w:rPr>
          <w:rFonts w:asciiTheme="minorBidi" w:hAnsiTheme="minorBidi"/>
          <w:sz w:val="24"/>
          <w:szCs w:val="24"/>
          <w:lang w:bidi="fa-IR"/>
        </w:rPr>
        <w:t xml:space="preserve"> </w:t>
      </w:r>
      <w:r w:rsidR="00C4265C" w:rsidRPr="00F44111">
        <w:rPr>
          <w:rFonts w:asciiTheme="minorBidi" w:hAnsiTheme="minorBidi"/>
          <w:sz w:val="24"/>
          <w:szCs w:val="24"/>
          <w:lang w:bidi="fa-IR"/>
        </w:rPr>
        <w:t>Low frequency oscillations as delta, theta, alpha and beta plays an important role in long range communication between brain areas</w:t>
      </w:r>
      <w:r w:rsidR="008F17D2" w:rsidRPr="00F44111">
        <w:rPr>
          <w:rFonts w:asciiTheme="minorBidi" w:hAnsiTheme="minorBidi"/>
          <w:sz w:val="24"/>
          <w:szCs w:val="24"/>
          <w:lang w:bidi="fa-IR"/>
        </w:rPr>
        <w:fldChar w:fldCharType="begin"/>
      </w:r>
      <w:r w:rsidR="008F17D2" w:rsidRPr="00F44111">
        <w:rPr>
          <w:rFonts w:asciiTheme="minorBidi" w:hAnsiTheme="minorBidi"/>
          <w:sz w:val="24"/>
          <w:szCs w:val="24"/>
          <w:lang w:bidi="fa-IR"/>
        </w:rPr>
        <w:instrText xml:space="preserve"> ADDIN EN.CITE &lt;EndNote&gt;&lt;Cite&gt;&lt;Author&gt;Buzsáki&lt;/Author&gt;&lt;Year&gt;2012&lt;/Year&gt;&lt;RecNum&gt;20&lt;/RecNum&gt;&lt;DisplayText&gt;(12)&lt;/DisplayText&gt;&lt;record&gt;&lt;rec-number&gt;20&lt;/rec-number&gt;&lt;foreign-keys&gt;&lt;key app="EN" db-id="f2xf00fz2wwffqefr5spdvwap2a2fdsadt52" timestamp="1747721744"&gt;20&lt;/key&gt;&lt;/foreign-keys&gt;&lt;ref-type name="Journal Article"&gt;17&lt;/ref-type&gt;&lt;contributors&gt;&lt;authors&gt;&lt;author&gt;Buzsáki, György&lt;/author&gt;&lt;author&gt;Watson, Brendon O&lt;/author&gt;&lt;/authors&gt;&lt;/contributors&gt;&lt;titles&gt;&lt;title&gt;Brain rhythms and neural syntax: implications for efficient coding of cognitive content and neuropsychiatric disease&lt;/title&gt;&lt;secondary-title&gt;Dialogues in clinical neuroscience&lt;/secondary-title&gt;&lt;/titles&gt;&lt;periodical&gt;&lt;full-title&gt;Dialogues in clinical neuroscience&lt;/full-title&gt;&lt;/periodical&gt;&lt;pages&gt;345-367&lt;/pages&gt;&lt;volume&gt;14&lt;/volume&gt;&lt;number&gt;4&lt;/number&gt;&lt;dates&gt;&lt;year&gt;2012&lt;/year&gt;&lt;/dates&gt;&lt;isbn&gt;1958-5969&lt;/isbn&gt;&lt;urls&gt;&lt;/urls&gt;&lt;/record&gt;&lt;/Cite&gt;&lt;/EndNote&gt;</w:instrText>
      </w:r>
      <w:r w:rsidR="008F17D2" w:rsidRPr="00F44111">
        <w:rPr>
          <w:rFonts w:asciiTheme="minorBidi" w:hAnsiTheme="minorBidi"/>
          <w:sz w:val="24"/>
          <w:szCs w:val="24"/>
          <w:lang w:bidi="fa-IR"/>
        </w:rPr>
        <w:fldChar w:fldCharType="separate"/>
      </w:r>
      <w:r w:rsidR="008F17D2" w:rsidRPr="00F44111">
        <w:rPr>
          <w:rFonts w:asciiTheme="minorBidi" w:hAnsiTheme="minorBidi"/>
          <w:noProof/>
          <w:sz w:val="24"/>
          <w:szCs w:val="24"/>
          <w:lang w:bidi="fa-IR"/>
        </w:rPr>
        <w:t>(12)</w:t>
      </w:r>
      <w:r w:rsidR="008F17D2" w:rsidRPr="00F44111">
        <w:rPr>
          <w:rFonts w:asciiTheme="minorBidi" w:hAnsiTheme="minorBidi"/>
          <w:sz w:val="24"/>
          <w:szCs w:val="24"/>
          <w:lang w:bidi="fa-IR"/>
        </w:rPr>
        <w:fldChar w:fldCharType="end"/>
      </w:r>
      <w:r w:rsidR="00C4265C" w:rsidRPr="00F44111">
        <w:rPr>
          <w:rFonts w:asciiTheme="minorBidi" w:hAnsiTheme="minorBidi"/>
          <w:sz w:val="24"/>
          <w:szCs w:val="24"/>
          <w:lang w:bidi="fa-IR"/>
        </w:rPr>
        <w:t xml:space="preserve">. </w:t>
      </w:r>
      <w:r w:rsidR="008F17D2" w:rsidRPr="00F44111">
        <w:rPr>
          <w:rFonts w:asciiTheme="minorBidi" w:hAnsiTheme="minorBidi"/>
          <w:sz w:val="24"/>
          <w:szCs w:val="24"/>
          <w:lang w:bidi="fa-IR"/>
        </w:rPr>
        <w:t xml:space="preserve">A </w:t>
      </w:r>
      <w:r w:rsidR="00C4265C" w:rsidRPr="00F44111">
        <w:rPr>
          <w:rFonts w:asciiTheme="minorBidi" w:hAnsiTheme="minorBidi"/>
          <w:sz w:val="24"/>
          <w:szCs w:val="24"/>
          <w:lang w:bidi="fa-IR"/>
        </w:rPr>
        <w:t>study, shows that theta oscillations synchronization between OB and PFC increase in anxiogenic states</w:t>
      </w:r>
      <w:r w:rsidR="008F17D2" w:rsidRPr="00F44111">
        <w:rPr>
          <w:rFonts w:asciiTheme="minorBidi" w:hAnsiTheme="minorBidi"/>
          <w:sz w:val="24"/>
          <w:szCs w:val="24"/>
          <w:lang w:bidi="fa-IR"/>
        </w:rPr>
        <w:fldChar w:fldCharType="begin"/>
      </w:r>
      <w:r w:rsidR="008F17D2" w:rsidRPr="00F44111">
        <w:rPr>
          <w:rFonts w:asciiTheme="minorBidi" w:hAnsiTheme="minorBidi"/>
          <w:sz w:val="24"/>
          <w:szCs w:val="24"/>
          <w:lang w:bidi="fa-IR"/>
        </w:rPr>
        <w:instrText xml:space="preserve"> ADDIN EN.CITE &lt;EndNote&gt;&lt;Cite&gt;&lt;Author&gt;Mooziri&lt;/Author&gt;&lt;Year&gt;2024&lt;/Year&gt;&lt;RecNum&gt;23&lt;/RecNum&gt;&lt;DisplayText&gt;(13)&lt;/DisplayText&gt;&lt;record&gt;&lt;rec-number&gt;23&lt;/rec-number&gt;&lt;foreign-keys&gt;&lt;key app="EN" db-id="f2xf00fz2wwffqefr5spdvwap2a2fdsadt52" timestamp="1747892193"&gt;23&lt;/key&gt;&lt;/foreign-keys&gt;&lt;ref-type name="Journal Article"&gt;17&lt;/ref-type&gt;&lt;contributors&gt;&lt;authors&gt;&lt;author&gt;Mooziri, Morteza&lt;/author&gt;&lt;author&gt;Samii Moghaddam, Ali&lt;/author&gt;&lt;author&gt;Mirshekar, Mohammad Ali&lt;/author&gt;&lt;author&gt;Raoufy, Mohammad Reza&lt;/author&gt;&lt;/authors&gt;&lt;/contributors&gt;&lt;titles&gt;&lt;title&gt;Olfactory bulb-medial prefrontal cortex theta synchronization is associated with anxiety&lt;/title&gt;&lt;secondary-title&gt;Scientific Reports&lt;/secondary-title&gt;&lt;/titles&gt;&lt;periodical&gt;&lt;full-title&gt;Scientific Reports&lt;/full-title&gt;&lt;/periodical&gt;&lt;pages&gt;12101&lt;/pages&gt;&lt;volume&gt;14&lt;/volume&gt;&lt;number&gt;1&lt;/number&gt;&lt;dates&gt;&lt;year&gt;2024&lt;/year&gt;&lt;/dates&gt;&lt;isbn&gt;2045-2322&lt;/isbn&gt;&lt;urls&gt;&lt;/urls&gt;&lt;/record&gt;&lt;/Cite&gt;&lt;/EndNote&gt;</w:instrText>
      </w:r>
      <w:r w:rsidR="008F17D2" w:rsidRPr="00F44111">
        <w:rPr>
          <w:rFonts w:asciiTheme="minorBidi" w:hAnsiTheme="minorBidi"/>
          <w:sz w:val="24"/>
          <w:szCs w:val="24"/>
          <w:lang w:bidi="fa-IR"/>
        </w:rPr>
        <w:fldChar w:fldCharType="separate"/>
      </w:r>
      <w:r w:rsidR="008F17D2" w:rsidRPr="00F44111">
        <w:rPr>
          <w:rFonts w:asciiTheme="minorBidi" w:hAnsiTheme="minorBidi"/>
          <w:noProof/>
          <w:sz w:val="24"/>
          <w:szCs w:val="24"/>
          <w:lang w:bidi="fa-IR"/>
        </w:rPr>
        <w:t>(13)</w:t>
      </w:r>
      <w:r w:rsidR="008F17D2" w:rsidRPr="00F44111">
        <w:rPr>
          <w:rFonts w:asciiTheme="minorBidi" w:hAnsiTheme="minorBidi"/>
          <w:sz w:val="24"/>
          <w:szCs w:val="24"/>
          <w:lang w:bidi="fa-IR"/>
        </w:rPr>
        <w:fldChar w:fldCharType="end"/>
      </w:r>
      <w:r w:rsidR="00C4265C" w:rsidRPr="00F44111">
        <w:rPr>
          <w:rFonts w:asciiTheme="minorBidi" w:hAnsiTheme="minorBidi"/>
          <w:sz w:val="24"/>
          <w:szCs w:val="24"/>
          <w:lang w:bidi="fa-IR"/>
        </w:rPr>
        <w:t xml:space="preserve">. </w:t>
      </w:r>
      <w:r w:rsidR="008F17D2" w:rsidRPr="00F44111">
        <w:rPr>
          <w:rFonts w:asciiTheme="minorBidi" w:hAnsiTheme="minorBidi"/>
          <w:sz w:val="24"/>
          <w:szCs w:val="24"/>
          <w:lang w:bidi="fa-IR"/>
        </w:rPr>
        <w:t>But</w:t>
      </w:r>
      <w:r w:rsidR="00C4265C" w:rsidRPr="00F44111">
        <w:rPr>
          <w:rFonts w:asciiTheme="minorBidi" w:hAnsiTheme="minorBidi"/>
          <w:sz w:val="24"/>
          <w:szCs w:val="24"/>
          <w:lang w:bidi="fa-IR"/>
        </w:rPr>
        <w:t xml:space="preserve"> other</w:t>
      </w:r>
      <w:r w:rsidR="008F17D2" w:rsidRPr="00F44111">
        <w:rPr>
          <w:rFonts w:asciiTheme="minorBidi" w:hAnsiTheme="minorBidi"/>
          <w:sz w:val="24"/>
          <w:szCs w:val="24"/>
          <w:lang w:bidi="fa-IR"/>
        </w:rPr>
        <w:t xml:space="preserve"> low</w:t>
      </w:r>
      <w:r w:rsidR="00C4265C" w:rsidRPr="00F44111">
        <w:rPr>
          <w:rFonts w:asciiTheme="minorBidi" w:hAnsiTheme="minorBidi"/>
          <w:sz w:val="24"/>
          <w:szCs w:val="24"/>
          <w:lang w:bidi="fa-IR"/>
        </w:rPr>
        <w:t xml:space="preserve"> frequency b</w:t>
      </w:r>
      <w:r w:rsidR="00E53CCF" w:rsidRPr="00F44111">
        <w:rPr>
          <w:rFonts w:asciiTheme="minorBidi" w:hAnsiTheme="minorBidi"/>
          <w:sz w:val="24"/>
          <w:szCs w:val="24"/>
          <w:lang w:bidi="fa-IR"/>
        </w:rPr>
        <w:t>a</w:t>
      </w:r>
      <w:r w:rsidR="00C4265C" w:rsidRPr="00F44111">
        <w:rPr>
          <w:rFonts w:asciiTheme="minorBidi" w:hAnsiTheme="minorBidi"/>
          <w:sz w:val="24"/>
          <w:szCs w:val="24"/>
          <w:lang w:bidi="fa-IR"/>
        </w:rPr>
        <w:t>nds</w:t>
      </w:r>
      <w:r w:rsidR="008F17D2" w:rsidRPr="00F44111">
        <w:rPr>
          <w:rFonts w:asciiTheme="minorBidi" w:hAnsiTheme="minorBidi"/>
          <w:sz w:val="24"/>
          <w:szCs w:val="24"/>
          <w:lang w:bidi="fa-IR"/>
        </w:rPr>
        <w:t xml:space="preserve"> behavior in anxiety state remains unknown.</w:t>
      </w:r>
      <w:r w:rsidR="00C4265C" w:rsidRPr="00F44111">
        <w:rPr>
          <w:rFonts w:asciiTheme="minorBidi" w:hAnsiTheme="minorBidi"/>
          <w:sz w:val="24"/>
          <w:szCs w:val="24"/>
          <w:lang w:bidi="fa-IR"/>
        </w:rPr>
        <w:t xml:space="preserve"> </w:t>
      </w:r>
      <w:r w:rsidR="007D5C72" w:rsidRPr="00F44111">
        <w:rPr>
          <w:rFonts w:asciiTheme="minorBidi" w:hAnsiTheme="minorBidi"/>
          <w:sz w:val="24"/>
          <w:szCs w:val="24"/>
          <w:lang w:bidi="fa-IR"/>
        </w:rPr>
        <w:t>Based on previous evidence, t</w:t>
      </w:r>
      <w:r w:rsidR="00262A9A" w:rsidRPr="00F44111">
        <w:rPr>
          <w:rFonts w:asciiTheme="minorBidi" w:hAnsiTheme="minorBidi"/>
          <w:sz w:val="24"/>
          <w:szCs w:val="24"/>
          <w:lang w:bidi="fa-IR"/>
        </w:rPr>
        <w:t>his study investigates</w:t>
      </w:r>
      <w:r w:rsidR="005F1182" w:rsidRPr="00F44111">
        <w:rPr>
          <w:rFonts w:asciiTheme="minorBidi" w:hAnsiTheme="minorBidi"/>
          <w:sz w:val="24"/>
          <w:szCs w:val="24"/>
          <w:lang w:bidi="fa-IR"/>
        </w:rPr>
        <w:t xml:space="preserve"> low frequency</w:t>
      </w:r>
      <w:r w:rsidR="00262A9A" w:rsidRPr="00F44111">
        <w:rPr>
          <w:rFonts w:asciiTheme="minorBidi" w:hAnsiTheme="minorBidi"/>
          <w:sz w:val="24"/>
          <w:szCs w:val="24"/>
          <w:lang w:bidi="fa-IR"/>
        </w:rPr>
        <w:t xml:space="preserve"> </w:t>
      </w:r>
      <w:r w:rsidR="007D5C72" w:rsidRPr="00F44111">
        <w:rPr>
          <w:rFonts w:asciiTheme="minorBidi" w:hAnsiTheme="minorBidi"/>
          <w:sz w:val="24"/>
          <w:szCs w:val="24"/>
          <w:lang w:bidi="fa-IR"/>
        </w:rPr>
        <w:t xml:space="preserve">functional connectivity of the </w:t>
      </w:r>
      <w:r w:rsidR="00262A9A" w:rsidRPr="00F44111">
        <w:rPr>
          <w:rFonts w:asciiTheme="minorBidi" w:hAnsiTheme="minorBidi"/>
          <w:sz w:val="24"/>
          <w:szCs w:val="24"/>
          <w:lang w:bidi="fa-IR"/>
        </w:rPr>
        <w:t>OB and PFC</w:t>
      </w:r>
      <w:r w:rsidR="005F1182" w:rsidRPr="00F44111">
        <w:rPr>
          <w:rFonts w:asciiTheme="minorBidi" w:hAnsiTheme="minorBidi"/>
          <w:sz w:val="24"/>
          <w:szCs w:val="24"/>
          <w:lang w:bidi="fa-IR"/>
        </w:rPr>
        <w:t xml:space="preserve"> </w:t>
      </w:r>
      <w:r w:rsidR="00262A9A" w:rsidRPr="00F44111">
        <w:rPr>
          <w:rFonts w:asciiTheme="minorBidi" w:hAnsiTheme="minorBidi"/>
          <w:sz w:val="24"/>
          <w:szCs w:val="24"/>
          <w:lang w:bidi="fa-IR"/>
        </w:rPr>
        <w:t>during anxiety states.</w:t>
      </w:r>
    </w:p>
    <w:p w14:paraId="2922C805" w14:textId="77777777" w:rsidR="00130121" w:rsidRPr="00F44111" w:rsidRDefault="00130121" w:rsidP="00130121">
      <w:pPr>
        <w:bidi/>
        <w:rPr>
          <w:rFonts w:asciiTheme="minorBidi" w:hAnsiTheme="minorBidi"/>
          <w:sz w:val="24"/>
          <w:szCs w:val="24"/>
          <w:rtl/>
          <w:lang w:bidi="fa-IR"/>
        </w:rPr>
      </w:pPr>
    </w:p>
    <w:p w14:paraId="21514EEB" w14:textId="77777777" w:rsidR="00130121" w:rsidRPr="00F44111" w:rsidRDefault="00130121" w:rsidP="00262A9A">
      <w:pPr>
        <w:rPr>
          <w:rFonts w:asciiTheme="minorBidi" w:hAnsiTheme="minorBidi"/>
          <w:sz w:val="24"/>
          <w:szCs w:val="24"/>
          <w:rtl/>
          <w:lang w:bidi="fa-IR"/>
        </w:rPr>
      </w:pPr>
    </w:p>
    <w:p w14:paraId="7C034465" w14:textId="77777777" w:rsidR="00262A9A" w:rsidRPr="00F44111" w:rsidRDefault="00262A9A" w:rsidP="00262A9A">
      <w:pPr>
        <w:rPr>
          <w:rFonts w:asciiTheme="minorBidi" w:hAnsiTheme="minorBidi"/>
          <w:b/>
          <w:bCs/>
          <w:sz w:val="24"/>
          <w:szCs w:val="24"/>
          <w:lang w:bidi="fa-IR"/>
        </w:rPr>
      </w:pPr>
      <w:bookmarkStart w:id="6" w:name="_Hlk198803619"/>
      <w:r w:rsidRPr="00F44111">
        <w:rPr>
          <w:rFonts w:asciiTheme="minorBidi" w:hAnsiTheme="minorBidi"/>
          <w:b/>
          <w:bCs/>
          <w:sz w:val="24"/>
          <w:szCs w:val="24"/>
          <w:lang w:bidi="fa-IR"/>
        </w:rPr>
        <w:t>Methods</w:t>
      </w:r>
    </w:p>
    <w:p w14:paraId="2463D493" w14:textId="77777777" w:rsidR="00262A9A" w:rsidRPr="00F44111" w:rsidRDefault="00262A9A" w:rsidP="00262A9A">
      <w:pPr>
        <w:rPr>
          <w:rFonts w:asciiTheme="minorBidi" w:hAnsiTheme="minorBidi"/>
          <w:b/>
          <w:bCs/>
          <w:sz w:val="24"/>
          <w:szCs w:val="24"/>
          <w:lang w:bidi="fa-IR"/>
        </w:rPr>
      </w:pPr>
      <w:r w:rsidRPr="00F44111">
        <w:rPr>
          <w:rFonts w:asciiTheme="minorBidi" w:hAnsiTheme="minorBidi"/>
          <w:b/>
          <w:bCs/>
          <w:sz w:val="24"/>
          <w:szCs w:val="24"/>
          <w:lang w:bidi="fa-IR"/>
        </w:rPr>
        <w:t>Animals</w:t>
      </w:r>
    </w:p>
    <w:p w14:paraId="3507721E" w14:textId="4F92AED9" w:rsidR="00D062DA" w:rsidRPr="00F44111" w:rsidRDefault="00D062DA" w:rsidP="00D062DA">
      <w:pPr>
        <w:rPr>
          <w:rFonts w:asciiTheme="minorBidi" w:hAnsiTheme="minorBidi"/>
          <w:sz w:val="24"/>
          <w:szCs w:val="24"/>
          <w:lang w:bidi="fa-IR"/>
        </w:rPr>
      </w:pPr>
      <w:r w:rsidRPr="00F44111">
        <w:rPr>
          <w:rFonts w:asciiTheme="minorBidi" w:hAnsiTheme="minorBidi"/>
          <w:sz w:val="24"/>
          <w:szCs w:val="24"/>
          <w:lang w:bidi="fa-IR"/>
        </w:rPr>
        <w:t xml:space="preserve">twelve </w:t>
      </w:r>
      <w:r w:rsidR="00290582" w:rsidRPr="00F44111">
        <w:rPr>
          <w:rFonts w:asciiTheme="minorBidi" w:hAnsiTheme="minorBidi"/>
          <w:sz w:val="24"/>
          <w:szCs w:val="24"/>
          <w:lang w:bidi="fa-IR"/>
        </w:rPr>
        <w:t>adult</w:t>
      </w:r>
      <w:r w:rsidRPr="00F44111">
        <w:rPr>
          <w:rFonts w:asciiTheme="minorBidi" w:hAnsiTheme="minorBidi"/>
          <w:sz w:val="24"/>
          <w:szCs w:val="24"/>
          <w:lang w:bidi="fa-IR"/>
        </w:rPr>
        <w:t xml:space="preserve"> male Wistar rats was acquired from the Laboratory Animal Center at Zahedan University of Medical Sciences (Ethical Approval Code: IR.ZAUMS.REC.1399.443). Animals were maintained in controlled environmental conditions with regulated temperature (21 ± 0.5°C) and humidity (50 ± 5%), under a standardized 12-hour photoperiod (lights on 07:00-19:00). Throughout the experimental periods, subjects received unlimited access to pellet chow and filtered water.</w:t>
      </w:r>
    </w:p>
    <w:p w14:paraId="11338511" w14:textId="77777777" w:rsidR="00262A9A" w:rsidRPr="00F44111" w:rsidRDefault="00262A9A" w:rsidP="00262A9A">
      <w:pPr>
        <w:rPr>
          <w:rFonts w:asciiTheme="minorBidi" w:hAnsiTheme="minorBidi"/>
          <w:b/>
          <w:bCs/>
          <w:sz w:val="24"/>
          <w:szCs w:val="24"/>
          <w:lang w:bidi="fa-IR"/>
        </w:rPr>
      </w:pPr>
      <w:r w:rsidRPr="00F44111">
        <w:rPr>
          <w:rFonts w:asciiTheme="minorBidi" w:hAnsiTheme="minorBidi"/>
          <w:b/>
          <w:bCs/>
          <w:sz w:val="24"/>
          <w:szCs w:val="24"/>
          <w:lang w:bidi="fa-IR"/>
        </w:rPr>
        <w:t>Surgery and Electrophysiological Recording</w:t>
      </w:r>
    </w:p>
    <w:p w14:paraId="591B4939" w14:textId="4277B245" w:rsidR="00B2635F" w:rsidRPr="00F44111" w:rsidRDefault="00B7508F" w:rsidP="00F44111">
      <w:pPr>
        <w:rPr>
          <w:rFonts w:asciiTheme="minorBidi" w:hAnsiTheme="minorBidi"/>
          <w:sz w:val="24"/>
          <w:szCs w:val="24"/>
          <w:lang w:bidi="fa-IR"/>
        </w:rPr>
      </w:pPr>
      <w:r w:rsidRPr="00F44111">
        <w:rPr>
          <w:rFonts w:asciiTheme="minorBidi" w:hAnsiTheme="minorBidi"/>
          <w:sz w:val="24"/>
          <w:szCs w:val="24"/>
          <w:lang w:bidi="fa-IR"/>
        </w:rPr>
        <w:t xml:space="preserve">All surgical interventions were performed under aseptic conditions. to induction of anesthesia Subjects received intraperitoneal administration of ketamine hydrochloride (100 mg/kg) and xylazine hydrochloride (10 mg/kg) in sterile 0.9% saline. Anesthetic depth was verified by absence of pedal and corneal reflexes before proceeding with stereotaxic </w:t>
      </w:r>
      <w:r w:rsidR="00E650CA" w:rsidRPr="00F44111">
        <w:rPr>
          <w:rFonts w:asciiTheme="minorBidi" w:hAnsiTheme="minorBidi"/>
          <w:sz w:val="24"/>
          <w:szCs w:val="24"/>
          <w:lang w:bidi="fa-IR"/>
        </w:rPr>
        <w:t>fixation</w:t>
      </w:r>
      <w:r w:rsidR="00E650CA" w:rsidRPr="007A36B1">
        <w:rPr>
          <w:rFonts w:asciiTheme="minorBidi" w:hAnsiTheme="minorBidi"/>
          <w:sz w:val="24"/>
          <w:szCs w:val="24"/>
          <w:lang w:bidi="fa-IR"/>
        </w:rPr>
        <w:t xml:space="preserve"> (</w:t>
      </w:r>
      <w:r w:rsidR="00F44111" w:rsidRPr="007A36B1">
        <w:rPr>
          <w:rFonts w:asciiTheme="minorBidi" w:hAnsiTheme="minorBidi"/>
          <w:sz w:val="24"/>
          <w:szCs w:val="24"/>
          <w:lang w:bidi="fa-IR"/>
        </w:rPr>
        <w:t>Narishige, Japan)</w:t>
      </w:r>
      <w:r w:rsidRPr="00F44111">
        <w:rPr>
          <w:rFonts w:asciiTheme="minorBidi" w:hAnsiTheme="minorBidi"/>
          <w:sz w:val="24"/>
          <w:szCs w:val="24"/>
          <w:lang w:bidi="fa-IR"/>
        </w:rPr>
        <w:t>.</w:t>
      </w:r>
      <w:r w:rsidR="00F44111">
        <w:rPr>
          <w:rFonts w:asciiTheme="minorBidi" w:hAnsiTheme="minorBidi"/>
          <w:sz w:val="24"/>
          <w:szCs w:val="24"/>
          <w:lang w:bidi="fa-IR"/>
        </w:rPr>
        <w:t xml:space="preserve"> </w:t>
      </w:r>
      <w:r w:rsidRPr="00F44111">
        <w:rPr>
          <w:rFonts w:asciiTheme="minorBidi" w:hAnsiTheme="minorBidi"/>
          <w:sz w:val="24"/>
          <w:szCs w:val="24"/>
          <w:lang w:bidi="fa-IR"/>
        </w:rPr>
        <w:t>Chronic implantation of recording electrodes was performed using Teflon-insulated stainless steel microwires (127 μm diameter</w:t>
      </w:r>
      <w:r w:rsidR="00F44111">
        <w:rPr>
          <w:rFonts w:asciiTheme="minorBidi" w:hAnsiTheme="minorBidi"/>
          <w:sz w:val="24"/>
          <w:szCs w:val="24"/>
          <w:lang w:bidi="fa-IR"/>
        </w:rPr>
        <w:t xml:space="preserve">, </w:t>
      </w:r>
      <w:r w:rsidR="00F44111" w:rsidRPr="007A36B1">
        <w:rPr>
          <w:rFonts w:asciiTheme="minorBidi" w:hAnsiTheme="minorBidi"/>
          <w:sz w:val="24"/>
          <w:szCs w:val="24"/>
          <w:lang w:bidi="fa-IR"/>
        </w:rPr>
        <w:t>A.M. system Inc., USA</w:t>
      </w:r>
      <w:r w:rsidRPr="00F44111">
        <w:rPr>
          <w:rFonts w:asciiTheme="minorBidi" w:hAnsiTheme="minorBidi"/>
          <w:sz w:val="24"/>
          <w:szCs w:val="24"/>
          <w:lang w:bidi="fa-IR"/>
        </w:rPr>
        <w:t xml:space="preserve">) targeting two brain regions; Olfactory bulb (OB)(+8.5 mm </w:t>
      </w:r>
      <w:r w:rsidRPr="00F44111">
        <w:rPr>
          <w:rFonts w:asciiTheme="minorBidi" w:hAnsiTheme="minorBidi"/>
          <w:sz w:val="24"/>
          <w:szCs w:val="24"/>
          <w:lang w:bidi="fa-IR"/>
        </w:rPr>
        <w:lastRenderedPageBreak/>
        <w:t>anteroposterior (AP), −1.0 mm mediolateral (ML), −1.5 mm dorsoventral (DV) relative to bregma) and Prefrontal cortex (PFC)(+3.2 mm AP, −0.6 mm ML, −3.6 mm DV). A 1 mm diameter stainless steel screw served as reference electrode, positioned over the right parietal cortex (AP: −3.0 mm, ML: +2.0 mm). All electrodes were interfaced with a miniature 6-pin connector and secured using dental acrylic applied in multiple layers. Post-implantation, the surgical site received topical application of tetracycline ointment (10%) and animals were maintained on thermal support (37°C) during 7-day recovery with daily monitoring</w:t>
      </w:r>
      <w:r w:rsidR="00F44111">
        <w:rPr>
          <w:rFonts w:asciiTheme="minorBidi" w:hAnsiTheme="minorBidi"/>
          <w:sz w:val="24"/>
          <w:szCs w:val="24"/>
          <w:lang w:bidi="fa-IR"/>
        </w:rPr>
        <w:t xml:space="preserve"> </w:t>
      </w:r>
      <w:r w:rsidR="00B2635F" w:rsidRPr="00F44111">
        <w:rPr>
          <w:rFonts w:asciiTheme="minorBidi" w:hAnsiTheme="minorBidi"/>
          <w:sz w:val="24"/>
          <w:szCs w:val="24"/>
          <w:lang w:bidi="fa-IR"/>
        </w:rPr>
        <w:t>Following the 7-day postoperative recovery period, simultaneous LFP recordings were acquired from OB and PFC during behavioral testing sessions using a BIODAC-Bi401l9B acquisition system (TRITA Health Tec. Co., Tehran, Iran; 2 kHz sampling rate). Neural signals were conditioned through a hardware low-pass filter (250 Hz cutoff, Butterworth 4th-order) prior to digitization. Signal fidelity was verified through visual inspection of raw traces (representative sample shown in Fig. 1</w:t>
      </w:r>
      <w:r w:rsidR="008D0BC1" w:rsidRPr="00F44111">
        <w:rPr>
          <w:rFonts w:asciiTheme="minorBidi" w:hAnsiTheme="minorBidi"/>
          <w:sz w:val="24"/>
          <w:szCs w:val="24"/>
          <w:lang w:bidi="fa-IR"/>
        </w:rPr>
        <w:t>C</w:t>
      </w:r>
      <w:r w:rsidR="00B2635F" w:rsidRPr="00F44111">
        <w:rPr>
          <w:rFonts w:asciiTheme="minorBidi" w:hAnsiTheme="minorBidi"/>
          <w:sz w:val="24"/>
          <w:szCs w:val="24"/>
          <w:lang w:bidi="fa-IR"/>
        </w:rPr>
        <w:t>).</w:t>
      </w:r>
      <w:r w:rsidR="00F44111">
        <w:rPr>
          <w:rFonts w:asciiTheme="minorBidi" w:hAnsiTheme="minorBidi"/>
          <w:sz w:val="24"/>
          <w:szCs w:val="24"/>
          <w:lang w:bidi="fa-IR"/>
        </w:rPr>
        <w:t xml:space="preserve"> </w:t>
      </w:r>
      <w:r w:rsidR="00B2635F" w:rsidRPr="00F44111">
        <w:rPr>
          <w:rFonts w:asciiTheme="minorBidi" w:hAnsiTheme="minorBidi"/>
          <w:sz w:val="24"/>
          <w:szCs w:val="24"/>
          <w:lang w:bidi="fa-IR"/>
        </w:rPr>
        <w:t>Behavioral sessions were monitored using a high-definition camera (30 fps) positioned 1.5 m above the testing arena, synchronized with electrophysiological recordings. Following completion of behavioral paradigms, subjects were euthanized through intraperitoneal administration of urethane (1.2 g/kg in sterile saline), with death confirmed by cessation of cardiac and respiratory activity for &gt;5 minutes.</w:t>
      </w:r>
      <w:r w:rsidR="00F44111">
        <w:rPr>
          <w:rFonts w:asciiTheme="minorBidi" w:hAnsiTheme="minorBidi"/>
          <w:sz w:val="24"/>
          <w:szCs w:val="24"/>
          <w:lang w:bidi="fa-IR"/>
        </w:rPr>
        <w:t xml:space="preserve"> </w:t>
      </w:r>
      <w:r w:rsidR="00B2635F" w:rsidRPr="00F44111">
        <w:rPr>
          <w:rFonts w:asciiTheme="minorBidi" w:hAnsiTheme="minorBidi"/>
          <w:sz w:val="24"/>
          <w:szCs w:val="24"/>
          <w:lang w:bidi="fa-IR"/>
        </w:rPr>
        <w:t>For histological verification,</w:t>
      </w:r>
      <w:r w:rsidR="00290582" w:rsidRPr="00F44111">
        <w:rPr>
          <w:rFonts w:asciiTheme="minorBidi" w:hAnsiTheme="minorBidi"/>
          <w:sz w:val="24"/>
          <w:szCs w:val="24"/>
          <w:lang w:bidi="fa-IR"/>
        </w:rPr>
        <w:t xml:space="preserve"> </w:t>
      </w:r>
      <w:r w:rsidR="00B2635F" w:rsidRPr="00F44111">
        <w:rPr>
          <w:rFonts w:asciiTheme="minorBidi" w:hAnsiTheme="minorBidi"/>
          <w:sz w:val="24"/>
          <w:szCs w:val="24"/>
          <w:lang w:bidi="fa-IR"/>
        </w:rPr>
        <w:t>Brains were immediately extracted and immersion-fixed in 4% paraformaldehyde (PFA) in 0.1M phosphate buffer (pH 7.4) for 48 hours at 4°C, Sectioned coronally at 50 μm intervals using a precision brain matrix.</w:t>
      </w:r>
    </w:p>
    <w:p w14:paraId="19CD920E" w14:textId="77777777" w:rsidR="00262A9A" w:rsidRPr="00F44111" w:rsidRDefault="00262A9A" w:rsidP="00262A9A">
      <w:pPr>
        <w:rPr>
          <w:rFonts w:asciiTheme="minorBidi" w:hAnsiTheme="minorBidi"/>
          <w:b/>
          <w:bCs/>
          <w:sz w:val="24"/>
          <w:szCs w:val="24"/>
          <w:lang w:bidi="fa-IR"/>
        </w:rPr>
      </w:pPr>
      <w:r w:rsidRPr="00F44111">
        <w:rPr>
          <w:rFonts w:asciiTheme="minorBidi" w:hAnsiTheme="minorBidi"/>
          <w:b/>
          <w:bCs/>
          <w:sz w:val="24"/>
          <w:szCs w:val="24"/>
          <w:lang w:bidi="fa-IR"/>
        </w:rPr>
        <w:t>Behavioral Tests</w:t>
      </w:r>
    </w:p>
    <w:p w14:paraId="675902EE" w14:textId="0CFB3B9C" w:rsidR="0058552B" w:rsidRPr="00F44111" w:rsidRDefault="0058552B" w:rsidP="0058552B">
      <w:pPr>
        <w:rPr>
          <w:rFonts w:asciiTheme="minorBidi" w:hAnsiTheme="minorBidi"/>
          <w:sz w:val="24"/>
          <w:szCs w:val="24"/>
          <w:lang w:bidi="fa-IR"/>
        </w:rPr>
      </w:pPr>
      <w:r w:rsidRPr="00F44111">
        <w:rPr>
          <w:rFonts w:asciiTheme="minorBidi" w:hAnsiTheme="minorBidi"/>
          <w:sz w:val="24"/>
          <w:szCs w:val="24"/>
          <w:lang w:bidi="fa-IR"/>
        </w:rPr>
        <w:t>To establish proper environmental adaptation, all experimental subjects were habituated to the testing facility for seven consecutive days both preceding and following surgical procedures. Behavioral assessments commenced on postoperative day 7, experimental protocol involved behavioral testing, with six randomly selected animals undergoing evaluation in the elevated plus maze apparatus - consisting of two exposed arms (50×10 cm) and two enclosed pathways (50×10 cm with 40 cm high walls) positioned 50 cm above ground level</w:t>
      </w:r>
      <w:r w:rsidR="008D0BC1" w:rsidRPr="00F44111">
        <w:rPr>
          <w:rFonts w:asciiTheme="minorBidi" w:hAnsiTheme="minorBidi"/>
          <w:sz w:val="24"/>
          <w:szCs w:val="24"/>
          <w:lang w:bidi="fa-IR"/>
        </w:rPr>
        <w:t xml:space="preserve"> (Fig 1.A)</w:t>
      </w:r>
      <w:r w:rsidRPr="00F44111">
        <w:rPr>
          <w:rFonts w:asciiTheme="minorBidi" w:hAnsiTheme="minorBidi"/>
          <w:sz w:val="24"/>
          <w:szCs w:val="24"/>
          <w:lang w:bidi="fa-IR"/>
        </w:rPr>
        <w:t>. The remaining six subjects were assessed in the open field arena (50×50 cm with 50 cm high boundary walls)</w:t>
      </w:r>
      <w:r w:rsidR="008D0BC1" w:rsidRPr="00F44111">
        <w:rPr>
          <w:rFonts w:asciiTheme="minorBidi" w:hAnsiTheme="minorBidi"/>
          <w:sz w:val="24"/>
          <w:szCs w:val="24"/>
          <w:lang w:bidi="fa-IR"/>
        </w:rPr>
        <w:t xml:space="preserve"> (Fig 1.B)</w:t>
      </w:r>
      <w:r w:rsidRPr="00F44111">
        <w:rPr>
          <w:rFonts w:asciiTheme="minorBidi" w:hAnsiTheme="minorBidi"/>
          <w:sz w:val="24"/>
          <w:szCs w:val="24"/>
          <w:lang w:bidi="fa-IR"/>
        </w:rPr>
        <w:t xml:space="preserve"> during identical 10-minute testing sessions.</w:t>
      </w:r>
      <w:r w:rsidR="00753677" w:rsidRPr="00F44111">
        <w:rPr>
          <w:rFonts w:asciiTheme="minorBidi" w:hAnsiTheme="minorBidi"/>
          <w:sz w:val="24"/>
          <w:szCs w:val="24"/>
          <w:lang w:bidi="fa-IR"/>
        </w:rPr>
        <w:t xml:space="preserve"> Periods of animal movement</w:t>
      </w:r>
      <w:r w:rsidRPr="00F44111">
        <w:rPr>
          <w:rFonts w:asciiTheme="minorBidi" w:hAnsiTheme="minorBidi"/>
          <w:sz w:val="24"/>
          <w:szCs w:val="24"/>
          <w:lang w:bidi="fa-IR"/>
        </w:rPr>
        <w:t xml:space="preserve"> </w:t>
      </w:r>
      <w:r w:rsidR="00753677" w:rsidRPr="00F44111">
        <w:rPr>
          <w:rFonts w:asciiTheme="minorBidi" w:hAnsiTheme="minorBidi"/>
          <w:sz w:val="24"/>
          <w:szCs w:val="24"/>
          <w:lang w:bidi="fa-IR"/>
        </w:rPr>
        <w:t>in both behavioral tests considered as trial for analysis.</w:t>
      </w:r>
    </w:p>
    <w:p w14:paraId="1897317E" w14:textId="5790C16B" w:rsidR="00262A9A" w:rsidRPr="00F44111" w:rsidRDefault="00262A9A" w:rsidP="0058552B">
      <w:pPr>
        <w:rPr>
          <w:rFonts w:asciiTheme="minorBidi" w:hAnsiTheme="minorBidi"/>
          <w:b/>
          <w:bCs/>
          <w:sz w:val="24"/>
          <w:szCs w:val="24"/>
          <w:lang w:bidi="fa-IR"/>
        </w:rPr>
      </w:pPr>
      <w:r w:rsidRPr="00F44111">
        <w:rPr>
          <w:rFonts w:asciiTheme="minorBidi" w:hAnsiTheme="minorBidi"/>
          <w:b/>
          <w:bCs/>
          <w:sz w:val="24"/>
          <w:szCs w:val="24"/>
          <w:lang w:bidi="fa-IR"/>
        </w:rPr>
        <w:t>Data Analysis</w:t>
      </w:r>
    </w:p>
    <w:p w14:paraId="61B48942" w14:textId="6B697C04" w:rsidR="00393C19" w:rsidRPr="00F44111" w:rsidRDefault="00393C19" w:rsidP="00262A9A">
      <w:pPr>
        <w:rPr>
          <w:rFonts w:asciiTheme="minorBidi" w:hAnsiTheme="minorBidi"/>
          <w:sz w:val="24"/>
          <w:szCs w:val="24"/>
          <w:lang w:bidi="fa-IR"/>
        </w:rPr>
      </w:pPr>
      <w:r w:rsidRPr="00F44111">
        <w:rPr>
          <w:rFonts w:asciiTheme="minorBidi" w:hAnsiTheme="minorBidi"/>
          <w:sz w:val="24"/>
          <w:szCs w:val="24"/>
          <w:lang w:bidi="fa-IR"/>
        </w:rPr>
        <w:t>Each frequency band</w:t>
      </w:r>
      <w:r w:rsidR="00262A9A" w:rsidRPr="00F44111">
        <w:rPr>
          <w:rFonts w:asciiTheme="minorBidi" w:hAnsiTheme="minorBidi"/>
          <w:sz w:val="24"/>
          <w:szCs w:val="24"/>
          <w:lang w:bidi="fa-IR"/>
        </w:rPr>
        <w:t xml:space="preserve"> oscillations were extracted from raw LFP data using a Butterworth bandpass filter.</w:t>
      </w:r>
      <w:r w:rsidRPr="00F44111">
        <w:rPr>
          <w:rFonts w:asciiTheme="minorBidi" w:hAnsiTheme="minorBidi"/>
          <w:sz w:val="24"/>
          <w:szCs w:val="24"/>
          <w:lang w:bidi="fa-IR"/>
        </w:rPr>
        <w:t xml:space="preserve"> To measure connectivity between two areas, Granger causality </w:t>
      </w:r>
      <w:r w:rsidR="00753677" w:rsidRPr="00F44111">
        <w:rPr>
          <w:rFonts w:asciiTheme="minorBidi" w:hAnsiTheme="minorBidi"/>
          <w:sz w:val="24"/>
          <w:szCs w:val="24"/>
          <w:lang w:bidi="fa-IR"/>
        </w:rPr>
        <w:t>was</w:t>
      </w:r>
      <w:r w:rsidRPr="00F44111">
        <w:rPr>
          <w:rFonts w:asciiTheme="minorBidi" w:hAnsiTheme="minorBidi"/>
          <w:sz w:val="24"/>
          <w:szCs w:val="24"/>
          <w:lang w:bidi="fa-IR"/>
        </w:rPr>
        <w:t xml:space="preserve"> used.</w:t>
      </w:r>
    </w:p>
    <w:p w14:paraId="2098BEFC" w14:textId="255BF711" w:rsidR="00BB7CB5" w:rsidRPr="00F44111" w:rsidRDefault="00000000" w:rsidP="00BB7CB5">
      <w:pPr>
        <w:rPr>
          <w:rFonts w:ascii="Cambria Math" w:hAnsi="Cambria Math"/>
          <w:sz w:val="24"/>
          <w:szCs w:val="24"/>
          <w:lang w:bidi="fa-IR"/>
          <w:oMath/>
        </w:rPr>
      </w:pPr>
      <m:oMathPara>
        <m:oMath>
          <m:sSub>
            <m:sSubPr>
              <m:ctrlPr>
                <w:rPr>
                  <w:rFonts w:ascii="Cambria Math" w:hAnsi="Cambria Math"/>
                  <w:i/>
                  <w:iCs/>
                  <w:sz w:val="24"/>
                  <w:szCs w:val="24"/>
                  <w:lang w:bidi="fa-IR"/>
                </w:rPr>
              </m:ctrlPr>
            </m:sSubPr>
            <m:e>
              <m:r>
                <w:rPr>
                  <w:rFonts w:ascii="Cambria Math" w:hAnsi="Cambria Math"/>
                  <w:sz w:val="24"/>
                  <w:szCs w:val="24"/>
                  <w:lang w:bidi="fa-IR"/>
                </w:rPr>
                <m:t>I</m:t>
              </m:r>
            </m:e>
            <m:sub>
              <m:r>
                <w:rPr>
                  <w:rFonts w:ascii="Cambria Math" w:hAnsi="Cambria Math"/>
                  <w:sz w:val="24"/>
                  <w:szCs w:val="24"/>
                  <w:lang w:bidi="fa-IR"/>
                </w:rPr>
                <m:t>X</m:t>
              </m:r>
              <m:r>
                <m:rPr>
                  <m:sty m:val="p"/>
                </m:rPr>
                <w:rPr>
                  <w:rFonts w:ascii="Cambria Math" w:hAnsi="Cambria Math"/>
                  <w:sz w:val="24"/>
                  <w:szCs w:val="24"/>
                  <w:lang w:bidi="fa-IR"/>
                </w:rPr>
                <m:t>→</m:t>
              </m:r>
              <m:r>
                <w:rPr>
                  <w:rFonts w:ascii="Cambria Math" w:hAnsi="Cambria Math"/>
                  <w:sz w:val="24"/>
                  <w:szCs w:val="24"/>
                  <w:lang w:bidi="fa-IR"/>
                </w:rPr>
                <m:t>Y</m:t>
              </m:r>
            </m:sub>
          </m:sSub>
          <m:d>
            <m:dPr>
              <m:ctrlPr>
                <w:rPr>
                  <w:rFonts w:ascii="Cambria Math" w:hAnsi="Cambria Math"/>
                  <w:i/>
                  <w:iCs/>
                  <w:sz w:val="24"/>
                  <w:szCs w:val="24"/>
                  <w:lang w:bidi="fa-IR"/>
                </w:rPr>
              </m:ctrlPr>
            </m:dPr>
            <m:e>
              <m:r>
                <w:rPr>
                  <w:rFonts w:ascii="Cambria Math" w:hAnsi="Cambria Math"/>
                  <w:sz w:val="24"/>
                  <w:szCs w:val="24"/>
                  <w:lang w:bidi="fa-IR"/>
                </w:rPr>
                <m:t>f</m:t>
              </m:r>
            </m:e>
          </m:d>
          <m:r>
            <w:rPr>
              <w:rFonts w:ascii="Cambria Math" w:hAnsi="Cambria Math"/>
              <w:sz w:val="24"/>
              <w:szCs w:val="24"/>
              <w:lang w:bidi="fa-IR"/>
            </w:rPr>
            <m:t>=</m:t>
          </m:r>
          <m:func>
            <m:funcPr>
              <m:ctrlPr>
                <w:rPr>
                  <w:rFonts w:ascii="Cambria Math" w:hAnsi="Cambria Math"/>
                  <w:iCs/>
                  <w:sz w:val="24"/>
                  <w:szCs w:val="24"/>
                  <w:lang w:bidi="fa-IR"/>
                </w:rPr>
              </m:ctrlPr>
            </m:funcPr>
            <m:fName>
              <m:r>
                <m:rPr>
                  <m:sty m:val="p"/>
                </m:rPr>
                <w:rPr>
                  <w:rFonts w:ascii="Cambria Math" w:hAnsi="Cambria Math"/>
                  <w:sz w:val="24"/>
                  <w:szCs w:val="24"/>
                  <w:lang w:bidi="fa-IR"/>
                </w:rPr>
                <m:t>ln</m:t>
              </m:r>
              <m:ctrlPr>
                <w:rPr>
                  <w:rFonts w:ascii="Cambria Math" w:hAnsi="Cambria Math"/>
                  <w:i/>
                  <w:iCs/>
                  <w:sz w:val="24"/>
                  <w:szCs w:val="24"/>
                  <w:lang w:bidi="fa-IR"/>
                </w:rPr>
              </m:ctrlPr>
            </m:fName>
            <m:e>
              <m:d>
                <m:dPr>
                  <m:ctrlPr>
                    <w:rPr>
                      <w:rFonts w:ascii="Cambria Math" w:hAnsi="Cambria Math"/>
                      <w:iCs/>
                      <w:sz w:val="24"/>
                      <w:szCs w:val="24"/>
                      <w:lang w:bidi="fa-IR"/>
                    </w:rPr>
                  </m:ctrlPr>
                </m:dPr>
                <m:e>
                  <m:f>
                    <m:fPr>
                      <m:ctrlPr>
                        <w:rPr>
                          <w:rFonts w:ascii="Cambria Math" w:hAnsi="Cambria Math"/>
                          <w:iCs/>
                          <w:sz w:val="24"/>
                          <w:szCs w:val="24"/>
                          <w:lang w:bidi="fa-IR"/>
                        </w:rPr>
                      </m:ctrlPr>
                    </m:fPr>
                    <m:num>
                      <m:sSub>
                        <m:sSubPr>
                          <m:ctrlPr>
                            <w:rPr>
                              <w:rFonts w:ascii="Cambria Math" w:hAnsi="Cambria Math"/>
                              <w:i/>
                              <w:iCs/>
                              <w:sz w:val="24"/>
                              <w:szCs w:val="24"/>
                              <w:lang w:bidi="fa-IR"/>
                            </w:rPr>
                          </m:ctrlPr>
                        </m:sSubPr>
                        <m:e>
                          <m:r>
                            <w:rPr>
                              <w:rFonts w:ascii="Cambria Math" w:hAnsi="Cambria Math"/>
                              <w:sz w:val="24"/>
                              <w:szCs w:val="24"/>
                              <w:lang w:bidi="fa-IR"/>
                            </w:rPr>
                            <m:t>S</m:t>
                          </m:r>
                        </m:e>
                        <m:sub>
                          <m:r>
                            <w:rPr>
                              <w:rFonts w:ascii="Cambria Math" w:hAnsi="Cambria Math"/>
                              <w:sz w:val="24"/>
                              <w:szCs w:val="24"/>
                              <w:lang w:bidi="fa-IR"/>
                            </w:rPr>
                            <m:t>YY</m:t>
                          </m:r>
                        </m:sub>
                      </m:sSub>
                      <m:d>
                        <m:dPr>
                          <m:ctrlPr>
                            <w:rPr>
                              <w:rFonts w:ascii="Cambria Math" w:hAnsi="Cambria Math"/>
                              <w:i/>
                              <w:iCs/>
                              <w:sz w:val="24"/>
                              <w:szCs w:val="24"/>
                              <w:lang w:bidi="fa-IR"/>
                            </w:rPr>
                          </m:ctrlPr>
                        </m:dPr>
                        <m:e>
                          <m:r>
                            <w:rPr>
                              <w:rFonts w:ascii="Cambria Math" w:hAnsi="Cambria Math"/>
                              <w:sz w:val="24"/>
                              <w:szCs w:val="24"/>
                              <w:lang w:bidi="fa-IR"/>
                            </w:rPr>
                            <m:t>f</m:t>
                          </m:r>
                        </m:e>
                      </m:d>
                      <m:ctrlPr>
                        <w:rPr>
                          <w:rFonts w:ascii="Cambria Math" w:hAnsi="Cambria Math"/>
                          <w:i/>
                          <w:iCs/>
                          <w:sz w:val="24"/>
                          <w:szCs w:val="24"/>
                          <w:lang w:bidi="fa-IR"/>
                        </w:rPr>
                      </m:ctrlPr>
                    </m:num>
                    <m:den>
                      <m:sSub>
                        <m:sSubPr>
                          <m:ctrlPr>
                            <w:rPr>
                              <w:rFonts w:ascii="Cambria Math" w:hAnsi="Cambria Math"/>
                              <w:i/>
                              <w:iCs/>
                              <w:sz w:val="24"/>
                              <w:szCs w:val="24"/>
                              <w:lang w:bidi="fa-IR"/>
                            </w:rPr>
                          </m:ctrlPr>
                        </m:sSubPr>
                        <m:e>
                          <m:r>
                            <w:rPr>
                              <w:rFonts w:ascii="Cambria Math" w:hAnsi="Cambria Math"/>
                              <w:sz w:val="24"/>
                              <w:szCs w:val="24"/>
                              <w:lang w:bidi="fa-IR"/>
                            </w:rPr>
                            <m:t>S</m:t>
                          </m:r>
                        </m:e>
                        <m:sub>
                          <m:r>
                            <w:rPr>
                              <w:rFonts w:ascii="Cambria Math" w:hAnsi="Cambria Math"/>
                              <w:sz w:val="24"/>
                              <w:szCs w:val="24"/>
                              <w:lang w:bidi="fa-IR"/>
                            </w:rPr>
                            <m:t>YY</m:t>
                          </m:r>
                        </m:sub>
                      </m:sSub>
                      <m:d>
                        <m:dPr>
                          <m:ctrlPr>
                            <w:rPr>
                              <w:rFonts w:ascii="Cambria Math" w:hAnsi="Cambria Math"/>
                              <w:i/>
                              <w:iCs/>
                              <w:sz w:val="24"/>
                              <w:szCs w:val="24"/>
                              <w:lang w:bidi="fa-IR"/>
                            </w:rPr>
                          </m:ctrlPr>
                        </m:dPr>
                        <m:e>
                          <m:r>
                            <w:rPr>
                              <w:rFonts w:ascii="Cambria Math" w:hAnsi="Cambria Math"/>
                              <w:sz w:val="24"/>
                              <w:szCs w:val="24"/>
                              <w:lang w:bidi="fa-IR"/>
                            </w:rPr>
                            <m:t>f</m:t>
                          </m:r>
                        </m:e>
                      </m:d>
                      <m:r>
                        <w:rPr>
                          <w:rFonts w:ascii="Cambria Math" w:hAnsi="Cambria Math"/>
                          <w:sz w:val="24"/>
                          <w:szCs w:val="24"/>
                          <w:lang w:bidi="fa-IR"/>
                        </w:rPr>
                        <m:t>-</m:t>
                      </m:r>
                      <m:d>
                        <m:dPr>
                          <m:ctrlPr>
                            <w:rPr>
                              <w:rFonts w:ascii="Cambria Math" w:hAnsi="Cambria Math"/>
                              <w:iCs/>
                              <w:sz w:val="24"/>
                              <w:szCs w:val="24"/>
                              <w:lang w:bidi="fa-IR"/>
                            </w:rPr>
                          </m:ctrlPr>
                        </m:dPr>
                        <m:e>
                          <m:sSub>
                            <m:sSubPr>
                              <m:ctrlPr>
                                <w:rPr>
                                  <w:rFonts w:ascii="Cambria Math" w:hAnsi="Cambria Math"/>
                                  <w:i/>
                                  <w:iCs/>
                                  <w:sz w:val="24"/>
                                  <w:szCs w:val="24"/>
                                  <w:lang w:bidi="fa-IR"/>
                                </w:rPr>
                              </m:ctrlPr>
                            </m:sSubPr>
                            <m:e>
                              <m:r>
                                <m:rPr>
                                  <m:sty m:val="p"/>
                                </m:rPr>
                                <w:rPr>
                                  <w:rFonts w:ascii="Cambria Math" w:hAnsi="Cambria Math"/>
                                  <w:sz w:val="24"/>
                                  <w:szCs w:val="24"/>
                                  <w:lang w:bidi="fa-IR"/>
                                </w:rPr>
                                <m:t>Σ</m:t>
                              </m:r>
                            </m:e>
                            <m:sub>
                              <m:r>
                                <w:rPr>
                                  <w:rFonts w:ascii="Cambria Math" w:hAnsi="Cambria Math"/>
                                  <w:sz w:val="24"/>
                                  <w:szCs w:val="24"/>
                                  <w:lang w:bidi="fa-IR"/>
                                </w:rPr>
                                <m:t>XX</m:t>
                              </m:r>
                            </m:sub>
                          </m:sSub>
                          <m:r>
                            <w:rPr>
                              <w:rFonts w:ascii="Cambria Math" w:hAnsi="Cambria Math"/>
                              <w:sz w:val="24"/>
                              <w:szCs w:val="24"/>
                              <w:lang w:bidi="fa-IR"/>
                            </w:rPr>
                            <m:t>-</m:t>
                          </m:r>
                          <m:f>
                            <m:fPr>
                              <m:ctrlPr>
                                <w:rPr>
                                  <w:rFonts w:ascii="Cambria Math" w:hAnsi="Cambria Math"/>
                                  <w:iCs/>
                                  <w:sz w:val="24"/>
                                  <w:szCs w:val="24"/>
                                  <w:lang w:bidi="fa-IR"/>
                                </w:rPr>
                              </m:ctrlPr>
                            </m:fPr>
                            <m:num>
                              <m:sSubSup>
                                <m:sSubSupPr>
                                  <m:ctrlPr>
                                    <w:rPr>
                                      <w:rFonts w:ascii="Cambria Math" w:hAnsi="Cambria Math"/>
                                      <w:i/>
                                      <w:iCs/>
                                      <w:sz w:val="24"/>
                                      <w:szCs w:val="24"/>
                                      <w:lang w:bidi="fa-IR"/>
                                    </w:rPr>
                                  </m:ctrlPr>
                                </m:sSubSupPr>
                                <m:e>
                                  <m:r>
                                    <m:rPr>
                                      <m:sty m:val="p"/>
                                    </m:rPr>
                                    <w:rPr>
                                      <w:rFonts w:ascii="Cambria Math" w:hAnsi="Cambria Math"/>
                                      <w:sz w:val="24"/>
                                      <w:szCs w:val="24"/>
                                      <w:lang w:bidi="fa-IR"/>
                                    </w:rPr>
                                    <m:t>Σ</m:t>
                                  </m:r>
                                </m:e>
                                <m:sub>
                                  <m:r>
                                    <w:rPr>
                                      <w:rFonts w:ascii="Cambria Math" w:hAnsi="Cambria Math"/>
                                      <w:sz w:val="24"/>
                                      <w:szCs w:val="24"/>
                                      <w:lang w:bidi="fa-IR"/>
                                    </w:rPr>
                                    <m:t>XY</m:t>
                                  </m:r>
                                </m:sub>
                                <m:sup>
                                  <m:r>
                                    <w:rPr>
                                      <w:rFonts w:ascii="Cambria Math" w:hAnsi="Cambria Math"/>
                                      <w:sz w:val="24"/>
                                      <w:szCs w:val="24"/>
                                      <w:lang w:bidi="fa-IR"/>
                                    </w:rPr>
                                    <m:t>2</m:t>
                                  </m:r>
                                </m:sup>
                              </m:sSubSup>
                              <m:ctrlPr>
                                <w:rPr>
                                  <w:rFonts w:ascii="Cambria Math" w:hAnsi="Cambria Math"/>
                                  <w:i/>
                                  <w:iCs/>
                                  <w:sz w:val="24"/>
                                  <w:szCs w:val="24"/>
                                  <w:lang w:bidi="fa-IR"/>
                                </w:rPr>
                              </m:ctrlPr>
                            </m:num>
                            <m:den>
                              <m:sSub>
                                <m:sSubPr>
                                  <m:ctrlPr>
                                    <w:rPr>
                                      <w:rFonts w:ascii="Cambria Math" w:hAnsi="Cambria Math"/>
                                      <w:i/>
                                      <w:iCs/>
                                      <w:sz w:val="24"/>
                                      <w:szCs w:val="24"/>
                                      <w:lang w:bidi="fa-IR"/>
                                    </w:rPr>
                                  </m:ctrlPr>
                                </m:sSubPr>
                                <m:e>
                                  <m:r>
                                    <m:rPr>
                                      <m:sty m:val="p"/>
                                    </m:rPr>
                                    <w:rPr>
                                      <w:rFonts w:ascii="Cambria Math" w:hAnsi="Cambria Math"/>
                                      <w:sz w:val="24"/>
                                      <w:szCs w:val="24"/>
                                      <w:lang w:bidi="fa-IR"/>
                                    </w:rPr>
                                    <m:t>Σ</m:t>
                                  </m:r>
                                </m:e>
                                <m:sub>
                                  <m:r>
                                    <w:rPr>
                                      <w:rFonts w:ascii="Cambria Math" w:hAnsi="Cambria Math"/>
                                      <w:sz w:val="24"/>
                                      <w:szCs w:val="24"/>
                                      <w:lang w:bidi="fa-IR"/>
                                    </w:rPr>
                                    <m:t>YY</m:t>
                                  </m:r>
                                </m:sub>
                              </m:sSub>
                              <m:ctrlPr>
                                <w:rPr>
                                  <w:rFonts w:ascii="Cambria Math" w:hAnsi="Cambria Math"/>
                                  <w:i/>
                                  <w:iCs/>
                                  <w:sz w:val="24"/>
                                  <w:szCs w:val="24"/>
                                  <w:lang w:bidi="fa-IR"/>
                                </w:rPr>
                              </m:ctrlPr>
                            </m:den>
                          </m:f>
                          <m:ctrlPr>
                            <w:rPr>
                              <w:rFonts w:ascii="Cambria Math" w:hAnsi="Cambria Math"/>
                              <w:i/>
                              <w:iCs/>
                              <w:sz w:val="24"/>
                              <w:szCs w:val="24"/>
                              <w:lang w:bidi="fa-IR"/>
                            </w:rPr>
                          </m:ctrlPr>
                        </m:e>
                      </m:d>
                      <m:sSup>
                        <m:sSupPr>
                          <m:ctrlPr>
                            <w:rPr>
                              <w:rFonts w:ascii="Cambria Math" w:hAnsi="Cambria Math"/>
                              <w:i/>
                              <w:iCs/>
                              <w:sz w:val="24"/>
                              <w:szCs w:val="24"/>
                              <w:lang w:bidi="fa-IR"/>
                            </w:rPr>
                          </m:ctrlPr>
                        </m:sSupPr>
                        <m:e>
                          <m:d>
                            <m:dPr>
                              <m:begChr m:val="|"/>
                              <m:endChr m:val="|"/>
                              <m:ctrlPr>
                                <w:rPr>
                                  <w:rFonts w:ascii="Cambria Math" w:hAnsi="Cambria Math"/>
                                  <w:i/>
                                  <w:iCs/>
                                  <w:sz w:val="24"/>
                                  <w:szCs w:val="24"/>
                                  <w:lang w:bidi="fa-IR"/>
                                </w:rPr>
                              </m:ctrlPr>
                            </m:dPr>
                            <m:e>
                              <m:sSub>
                                <m:sSubPr>
                                  <m:ctrlPr>
                                    <w:rPr>
                                      <w:rFonts w:ascii="Cambria Math" w:hAnsi="Cambria Math"/>
                                      <w:i/>
                                      <w:iCs/>
                                      <w:sz w:val="24"/>
                                      <w:szCs w:val="24"/>
                                      <w:lang w:bidi="fa-IR"/>
                                    </w:rPr>
                                  </m:ctrlPr>
                                </m:sSubPr>
                                <m:e>
                                  <m:r>
                                    <w:rPr>
                                      <w:rFonts w:ascii="Cambria Math" w:hAnsi="Cambria Math"/>
                                      <w:sz w:val="24"/>
                                      <w:szCs w:val="24"/>
                                      <w:lang w:bidi="fa-IR"/>
                                    </w:rPr>
                                    <m:t>H</m:t>
                                  </m:r>
                                </m:e>
                                <m:sub>
                                  <m:r>
                                    <w:rPr>
                                      <w:rFonts w:ascii="Cambria Math" w:hAnsi="Cambria Math"/>
                                      <w:sz w:val="24"/>
                                      <w:szCs w:val="24"/>
                                      <w:lang w:bidi="fa-IR"/>
                                    </w:rPr>
                                    <m:t>XY</m:t>
                                  </m:r>
                                </m:sub>
                              </m:sSub>
                              <m:d>
                                <m:dPr>
                                  <m:ctrlPr>
                                    <w:rPr>
                                      <w:rFonts w:ascii="Cambria Math" w:hAnsi="Cambria Math"/>
                                      <w:i/>
                                      <w:iCs/>
                                      <w:sz w:val="24"/>
                                      <w:szCs w:val="24"/>
                                      <w:lang w:bidi="fa-IR"/>
                                    </w:rPr>
                                  </m:ctrlPr>
                                </m:dPr>
                                <m:e>
                                  <m:r>
                                    <w:rPr>
                                      <w:rFonts w:ascii="Cambria Math" w:hAnsi="Cambria Math"/>
                                      <w:sz w:val="24"/>
                                      <w:szCs w:val="24"/>
                                      <w:lang w:bidi="fa-IR"/>
                                    </w:rPr>
                                    <m:t>f</m:t>
                                  </m:r>
                                </m:e>
                              </m:d>
                            </m:e>
                          </m:d>
                        </m:e>
                        <m:sup>
                          <m:r>
                            <w:rPr>
                              <w:rFonts w:ascii="Cambria Math" w:hAnsi="Cambria Math"/>
                              <w:sz w:val="24"/>
                              <w:szCs w:val="24"/>
                              <w:lang w:bidi="fa-IR"/>
                            </w:rPr>
                            <m:t>2</m:t>
                          </m:r>
                        </m:sup>
                      </m:sSup>
                      <m:ctrlPr>
                        <w:rPr>
                          <w:rFonts w:ascii="Cambria Math" w:hAnsi="Cambria Math"/>
                          <w:i/>
                          <w:iCs/>
                          <w:sz w:val="24"/>
                          <w:szCs w:val="24"/>
                          <w:lang w:bidi="fa-IR"/>
                        </w:rPr>
                      </m:ctrlPr>
                    </m:den>
                  </m:f>
                  <m:ctrlPr>
                    <w:rPr>
                      <w:rFonts w:ascii="Cambria Math" w:hAnsi="Cambria Math"/>
                      <w:i/>
                      <w:iCs/>
                      <w:sz w:val="24"/>
                      <w:szCs w:val="24"/>
                      <w:lang w:bidi="fa-IR"/>
                    </w:rPr>
                  </m:ctrlPr>
                </m:e>
              </m:d>
            </m:e>
          </m:func>
        </m:oMath>
      </m:oMathPara>
    </w:p>
    <w:p w14:paraId="12625F16" w14:textId="62E697F8" w:rsidR="00F44111" w:rsidRPr="00F44111" w:rsidRDefault="00F44111" w:rsidP="00F44111">
      <w:pPr>
        <w:jc w:val="center"/>
        <w:rPr>
          <w:rFonts w:asciiTheme="minorBidi" w:hAnsiTheme="minorBidi"/>
          <w:sz w:val="24"/>
          <w:szCs w:val="24"/>
          <w:lang w:bidi="fa-IR"/>
        </w:rPr>
      </w:pPr>
      <w:r>
        <w:rPr>
          <w:rFonts w:asciiTheme="minorBidi" w:hAnsiTheme="minorBidi"/>
          <w:sz w:val="24"/>
          <w:szCs w:val="24"/>
          <w:lang w:bidi="fa-IR"/>
        </w:rPr>
        <w:lastRenderedPageBreak/>
        <w:t>(Formula 1)</w:t>
      </w:r>
    </w:p>
    <w:p w14:paraId="7B527A5F" w14:textId="7C62F2D4" w:rsidR="00262A9A" w:rsidRPr="00F44111" w:rsidRDefault="00BB7CB5" w:rsidP="007D42A4">
      <w:pPr>
        <w:rPr>
          <w:rFonts w:asciiTheme="minorBidi" w:hAnsiTheme="minorBidi"/>
          <w:sz w:val="24"/>
          <w:szCs w:val="24"/>
          <w:lang w:bidi="fa-IR"/>
        </w:rPr>
      </w:pPr>
      <w:r w:rsidRPr="00F44111">
        <w:rPr>
          <w:rFonts w:asciiTheme="minorBidi" w:hAnsiTheme="minorBidi"/>
          <w:sz w:val="24"/>
          <w:szCs w:val="24"/>
          <w:lang w:bidi="fa-IR"/>
        </w:rPr>
        <w:t>f</w:t>
      </w:r>
      <w:r w:rsidR="00393C19" w:rsidRPr="00F44111">
        <w:rPr>
          <w:rFonts w:asciiTheme="minorBidi" w:hAnsiTheme="minorBidi"/>
          <w:sz w:val="24"/>
          <w:szCs w:val="24"/>
          <w:lang w:bidi="fa-IR"/>
        </w:rPr>
        <w:t>or two time series </w:t>
      </w:r>
      <w:r w:rsidR="00393C19" w:rsidRPr="00F44111">
        <w:rPr>
          <w:rFonts w:asciiTheme="minorBidi" w:hAnsiTheme="minorBidi"/>
          <w:i/>
          <w:iCs/>
          <w:sz w:val="24"/>
          <w:szCs w:val="24"/>
          <w:lang w:bidi="fa-IR"/>
        </w:rPr>
        <w:t>X</w:t>
      </w:r>
      <w:r w:rsidR="00393C19" w:rsidRPr="00F44111">
        <w:rPr>
          <w:rFonts w:asciiTheme="minorBidi" w:hAnsiTheme="minorBidi"/>
          <w:sz w:val="24"/>
          <w:szCs w:val="24"/>
          <w:lang w:bidi="fa-IR"/>
        </w:rPr>
        <w:t> and </w:t>
      </w:r>
      <w:r w:rsidR="00393C19" w:rsidRPr="00F44111">
        <w:rPr>
          <w:rFonts w:asciiTheme="minorBidi" w:hAnsiTheme="minorBidi"/>
          <w:i/>
          <w:iCs/>
          <w:sz w:val="24"/>
          <w:szCs w:val="24"/>
          <w:lang w:bidi="fa-IR"/>
        </w:rPr>
        <w:t>Y</w:t>
      </w:r>
      <w:r w:rsidR="00393C19" w:rsidRPr="00F44111">
        <w:rPr>
          <w:rFonts w:asciiTheme="minorBidi" w:hAnsiTheme="minorBidi"/>
          <w:sz w:val="24"/>
          <w:szCs w:val="24"/>
          <w:lang w:bidi="fa-IR"/>
        </w:rPr>
        <w:t>, </w:t>
      </w:r>
      <w:r w:rsidR="00393C19" w:rsidRPr="00F44111">
        <w:rPr>
          <w:rFonts w:asciiTheme="minorBidi" w:hAnsiTheme="minorBidi"/>
          <w:i/>
          <w:iCs/>
          <w:sz w:val="24"/>
          <w:szCs w:val="24"/>
          <w:lang w:bidi="fa-IR"/>
        </w:rPr>
        <w:t>X</w:t>
      </w:r>
      <w:r w:rsidR="00393C19" w:rsidRPr="00F44111">
        <w:rPr>
          <w:rFonts w:asciiTheme="minorBidi" w:hAnsiTheme="minorBidi"/>
          <w:sz w:val="24"/>
          <w:szCs w:val="24"/>
          <w:lang w:bidi="fa-IR"/>
        </w:rPr>
        <w:t> Granger-causes </w:t>
      </w:r>
      <w:r w:rsidR="00393C19" w:rsidRPr="00F44111">
        <w:rPr>
          <w:rFonts w:asciiTheme="minorBidi" w:hAnsiTheme="minorBidi"/>
          <w:i/>
          <w:iCs/>
          <w:sz w:val="24"/>
          <w:szCs w:val="24"/>
          <w:lang w:bidi="fa-IR"/>
        </w:rPr>
        <w:t>Y</w:t>
      </w:r>
      <w:r w:rsidR="00393C19" w:rsidRPr="00F44111">
        <w:rPr>
          <w:rFonts w:asciiTheme="minorBidi" w:hAnsiTheme="minorBidi"/>
          <w:sz w:val="24"/>
          <w:szCs w:val="24"/>
          <w:lang w:bidi="fa-IR"/>
        </w:rPr>
        <w:t> if the past values of </w:t>
      </w:r>
      <w:r w:rsidR="00393C19" w:rsidRPr="00F44111">
        <w:rPr>
          <w:rFonts w:asciiTheme="minorBidi" w:hAnsiTheme="minorBidi"/>
          <w:i/>
          <w:iCs/>
          <w:sz w:val="24"/>
          <w:szCs w:val="24"/>
          <w:lang w:bidi="fa-IR"/>
        </w:rPr>
        <w:t>X</w:t>
      </w:r>
      <w:r w:rsidR="00393C19" w:rsidRPr="00F44111">
        <w:rPr>
          <w:rFonts w:asciiTheme="minorBidi" w:hAnsiTheme="minorBidi"/>
          <w:sz w:val="24"/>
          <w:szCs w:val="24"/>
          <w:lang w:bidi="fa-IR"/>
        </w:rPr>
        <w:t> significantly improve the prediction of </w:t>
      </w:r>
      <w:r w:rsidR="00393C19" w:rsidRPr="00F44111">
        <w:rPr>
          <w:rFonts w:asciiTheme="minorBidi" w:hAnsiTheme="minorBidi"/>
          <w:i/>
          <w:iCs/>
          <w:sz w:val="24"/>
          <w:szCs w:val="24"/>
          <w:lang w:bidi="fa-IR"/>
        </w:rPr>
        <w:t>Y</w:t>
      </w:r>
      <w:r w:rsidR="00393C19" w:rsidRPr="00F44111">
        <w:rPr>
          <w:rFonts w:asciiTheme="minorBidi" w:hAnsiTheme="minorBidi"/>
          <w:sz w:val="24"/>
          <w:szCs w:val="24"/>
          <w:lang w:bidi="fa-IR"/>
        </w:rPr>
        <w:t> beyond what is achievable using only past values of </w:t>
      </w:r>
      <w:r w:rsidR="00393C19" w:rsidRPr="00F44111">
        <w:rPr>
          <w:rFonts w:asciiTheme="minorBidi" w:hAnsiTheme="minorBidi"/>
          <w:i/>
          <w:iCs/>
          <w:sz w:val="24"/>
          <w:szCs w:val="24"/>
          <w:lang w:bidi="fa-IR"/>
        </w:rPr>
        <w:t>Y</w:t>
      </w:r>
      <w:r w:rsidR="00393C19" w:rsidRPr="00F44111">
        <w:rPr>
          <w:rFonts w:asciiTheme="minorBidi" w:hAnsiTheme="minorBidi"/>
          <w:sz w:val="24"/>
          <w:szCs w:val="24"/>
          <w:lang w:bidi="fa-IR"/>
        </w:rPr>
        <w:t xml:space="preserve"> </w:t>
      </w:r>
      <w:r w:rsidR="00262A9A" w:rsidRPr="00F44111">
        <w:rPr>
          <w:rFonts w:asciiTheme="minorBidi" w:hAnsiTheme="minorBidi"/>
          <w:sz w:val="24"/>
          <w:szCs w:val="24"/>
          <w:lang w:bidi="fa-IR"/>
        </w:rPr>
        <w:t>(Formula 1).</w:t>
      </w:r>
      <w:r w:rsidRPr="00F44111">
        <w:rPr>
          <w:rFonts w:asciiTheme="minorBidi" w:hAnsiTheme="minorBidi"/>
          <w:sz w:val="24"/>
          <w:szCs w:val="24"/>
          <w:lang w:bidi="fa-IR"/>
        </w:rPr>
        <w:t xml:space="preserve"> where</w:t>
      </w:r>
      <w:r w:rsidRPr="00F44111">
        <w:rPr>
          <w:rFonts w:ascii="Segoe UI" w:eastAsia="Times New Roman" w:hAnsi="Segoe UI" w:cs="Segoe UI"/>
          <w:i/>
          <w:iCs/>
          <w:color w:val="404040"/>
          <w:kern w:val="0"/>
          <w:sz w:val="24"/>
          <w:szCs w:val="24"/>
          <w:lang w:bidi="fa-IR"/>
          <w14:ligatures w14:val="none"/>
        </w:rPr>
        <w:t xml:space="preserve"> </w:t>
      </w:r>
      <w:r w:rsidRPr="00F44111">
        <w:rPr>
          <w:rFonts w:asciiTheme="minorBidi" w:hAnsiTheme="minorBidi"/>
          <w:i/>
          <w:iCs/>
          <w:sz w:val="24"/>
          <w:szCs w:val="24"/>
          <w:lang w:bidi="fa-IR"/>
        </w:rPr>
        <w:t>Sₓₓ(f)</w:t>
      </w:r>
      <w:r w:rsidRPr="00F44111">
        <w:rPr>
          <w:rFonts w:asciiTheme="minorBidi" w:hAnsiTheme="minorBidi"/>
          <w:sz w:val="24"/>
          <w:szCs w:val="24"/>
          <w:lang w:bidi="fa-IR"/>
        </w:rPr>
        <w:t>,</w:t>
      </w:r>
      <w:r w:rsidRPr="00F44111">
        <w:rPr>
          <w:rFonts w:asciiTheme="minorBidi" w:hAnsiTheme="minorBidi"/>
          <w:i/>
          <w:iCs/>
          <w:sz w:val="24"/>
          <w:szCs w:val="24"/>
          <w:lang w:bidi="fa-IR"/>
        </w:rPr>
        <w:t>Hₓᵧ(f)</w:t>
      </w:r>
      <w:r w:rsidRPr="00F44111">
        <w:rPr>
          <w:rFonts w:asciiTheme="minorBidi" w:hAnsiTheme="minorBidi"/>
          <w:sz w:val="24"/>
          <w:szCs w:val="24"/>
          <w:lang w:bidi="fa-IR"/>
        </w:rPr>
        <w:t xml:space="preserve"> and </w:t>
      </w:r>
      <w:r w:rsidRPr="00F44111">
        <w:rPr>
          <w:rFonts w:asciiTheme="minorBidi" w:hAnsiTheme="minorBidi"/>
          <w:i/>
          <w:iCs/>
          <w:sz w:val="24"/>
          <w:szCs w:val="24"/>
          <w:lang w:bidi="fa-IR"/>
        </w:rPr>
        <w:t>Σ</w:t>
      </w:r>
      <w:r w:rsidRPr="00F44111">
        <w:rPr>
          <w:rFonts w:asciiTheme="minorBidi" w:hAnsiTheme="minorBidi"/>
          <w:sz w:val="24"/>
          <w:szCs w:val="24"/>
          <w:lang w:bidi="fa-IR"/>
        </w:rPr>
        <w:t> represent auto-spectrum of </w:t>
      </w:r>
      <w:r w:rsidRPr="00F44111">
        <w:rPr>
          <w:rFonts w:asciiTheme="minorBidi" w:hAnsiTheme="minorBidi"/>
          <w:i/>
          <w:iCs/>
          <w:sz w:val="24"/>
          <w:szCs w:val="24"/>
          <w:lang w:bidi="fa-IR"/>
        </w:rPr>
        <w:t>X</w:t>
      </w:r>
      <w:r w:rsidRPr="00F44111">
        <w:rPr>
          <w:rFonts w:asciiTheme="minorBidi" w:hAnsiTheme="minorBidi"/>
          <w:sz w:val="24"/>
          <w:szCs w:val="24"/>
          <w:lang w:bidi="fa-IR"/>
        </w:rPr>
        <w:t>,</w:t>
      </w:r>
      <w:r w:rsidRPr="00F44111">
        <w:rPr>
          <w:rFonts w:ascii="Segoe UI" w:hAnsi="Segoe UI" w:cs="Segoe UI"/>
          <w:color w:val="404040"/>
          <w:sz w:val="24"/>
          <w:szCs w:val="24"/>
          <w:shd w:val="clear" w:color="auto" w:fill="FFFFFF"/>
        </w:rPr>
        <w:t xml:space="preserve"> </w:t>
      </w:r>
      <w:r w:rsidRPr="00F44111">
        <w:rPr>
          <w:rFonts w:asciiTheme="minorBidi" w:hAnsiTheme="minorBidi"/>
          <w:sz w:val="24"/>
          <w:szCs w:val="24"/>
          <w:lang w:bidi="fa-IR"/>
        </w:rPr>
        <w:t>transfer function and noise covariance, respectively.</w:t>
      </w:r>
      <w:r w:rsidR="007D42A4" w:rsidRPr="00F44111">
        <w:rPr>
          <w:rFonts w:asciiTheme="minorBidi" w:hAnsiTheme="minorBidi"/>
          <w:sz w:val="24"/>
          <w:szCs w:val="24"/>
          <w:lang w:bidi="fa-IR"/>
        </w:rPr>
        <w:t xml:space="preserve"> </w:t>
      </w:r>
      <w:r w:rsidR="007965D0">
        <w:rPr>
          <w:rFonts w:asciiTheme="minorBidi" w:hAnsiTheme="minorBidi"/>
          <w:sz w:val="24"/>
          <w:szCs w:val="24"/>
          <w:lang w:bidi="fa-IR"/>
        </w:rPr>
        <w:t xml:space="preserve">I </w:t>
      </w:r>
      <w:r w:rsidRPr="00F44111">
        <w:rPr>
          <w:rFonts w:asciiTheme="minorBidi" w:hAnsiTheme="minorBidi"/>
          <w:sz w:val="24"/>
          <w:szCs w:val="24"/>
          <w:lang w:bidi="fa-IR"/>
        </w:rPr>
        <w:t xml:space="preserve">computed GC using the MVGC toolbox in MATLAB v2016 (Model order </w:t>
      </w:r>
      <w:r w:rsidR="0052096C" w:rsidRPr="00F44111">
        <w:rPr>
          <w:rFonts w:asciiTheme="minorBidi" w:hAnsiTheme="minorBidi"/>
          <w:sz w:val="24"/>
          <w:szCs w:val="24"/>
          <w:lang w:bidi="fa-IR"/>
        </w:rPr>
        <w:t xml:space="preserve">=10). </w:t>
      </w:r>
      <w:r w:rsidR="00262A9A" w:rsidRPr="00F44111">
        <w:rPr>
          <w:rFonts w:asciiTheme="minorBidi" w:hAnsiTheme="minorBidi"/>
          <w:sz w:val="24"/>
          <w:szCs w:val="24"/>
          <w:lang w:bidi="fa-IR"/>
        </w:rPr>
        <w:t xml:space="preserve">For statistical </w:t>
      </w:r>
      <w:r w:rsidR="0052096C" w:rsidRPr="00F44111">
        <w:rPr>
          <w:rFonts w:asciiTheme="minorBidi" w:hAnsiTheme="minorBidi"/>
          <w:sz w:val="24"/>
          <w:szCs w:val="24"/>
          <w:lang w:bidi="fa-IR"/>
        </w:rPr>
        <w:t>analysis</w:t>
      </w:r>
      <w:r w:rsidR="00262A9A" w:rsidRPr="00F44111">
        <w:rPr>
          <w:rFonts w:asciiTheme="minorBidi" w:hAnsiTheme="minorBidi"/>
          <w:sz w:val="24"/>
          <w:szCs w:val="24"/>
          <w:lang w:bidi="fa-IR"/>
        </w:rPr>
        <w:t xml:space="preserve">, the Wilcoxon signed-rank test was </w:t>
      </w:r>
      <w:r w:rsidR="0052096C" w:rsidRPr="00F44111">
        <w:rPr>
          <w:rFonts w:asciiTheme="minorBidi" w:hAnsiTheme="minorBidi"/>
          <w:sz w:val="24"/>
          <w:szCs w:val="24"/>
          <w:lang w:bidi="fa-IR"/>
        </w:rPr>
        <w:t>used</w:t>
      </w:r>
      <w:r w:rsidR="00262A9A" w:rsidRPr="00F44111">
        <w:rPr>
          <w:rFonts w:asciiTheme="minorBidi" w:hAnsiTheme="minorBidi"/>
          <w:sz w:val="24"/>
          <w:szCs w:val="24"/>
          <w:lang w:bidi="fa-IR"/>
        </w:rPr>
        <w:t>. All analyses were conducted in MATLAB v2016</w:t>
      </w:r>
      <w:r w:rsidR="00F44111" w:rsidRPr="007A36B1">
        <w:rPr>
          <w:rFonts w:asciiTheme="minorBidi" w:hAnsiTheme="minorBidi"/>
          <w:sz w:val="24"/>
          <w:szCs w:val="24"/>
          <w:lang w:bidi="fa-IR"/>
        </w:rPr>
        <w:t>(The Mathworks Inc., USA)</w:t>
      </w:r>
      <w:r w:rsidR="00262A9A" w:rsidRPr="00F44111">
        <w:rPr>
          <w:rFonts w:asciiTheme="minorBidi" w:hAnsiTheme="minorBidi"/>
          <w:sz w:val="24"/>
          <w:szCs w:val="24"/>
          <w:lang w:bidi="fa-IR"/>
        </w:rPr>
        <w:t>, with a p-value &lt; 0.05 considered statistically significant.</w:t>
      </w:r>
    </w:p>
    <w:p w14:paraId="4C92E22E" w14:textId="77777777" w:rsidR="00262A9A" w:rsidRPr="00F44111" w:rsidRDefault="00262A9A" w:rsidP="00262A9A">
      <w:pPr>
        <w:rPr>
          <w:rFonts w:asciiTheme="minorBidi" w:hAnsiTheme="minorBidi"/>
          <w:b/>
          <w:bCs/>
          <w:sz w:val="24"/>
          <w:szCs w:val="24"/>
          <w:lang w:bidi="fa-IR"/>
        </w:rPr>
      </w:pPr>
      <w:r w:rsidRPr="00F44111">
        <w:rPr>
          <w:rFonts w:asciiTheme="minorBidi" w:hAnsiTheme="minorBidi"/>
          <w:b/>
          <w:bCs/>
          <w:sz w:val="24"/>
          <w:szCs w:val="24"/>
          <w:lang w:bidi="fa-IR"/>
        </w:rPr>
        <w:t>Results</w:t>
      </w:r>
    </w:p>
    <w:p w14:paraId="719271FA" w14:textId="65054391" w:rsidR="000D2F66" w:rsidRDefault="000D2F66" w:rsidP="00F44111">
      <w:pPr>
        <w:rPr>
          <w:rFonts w:asciiTheme="minorBidi" w:hAnsiTheme="minorBidi"/>
          <w:sz w:val="24"/>
          <w:szCs w:val="24"/>
          <w:lang w:bidi="fa-IR"/>
        </w:rPr>
      </w:pPr>
      <w:r>
        <w:rPr>
          <w:noProof/>
        </w:rPr>
        <w:drawing>
          <wp:anchor distT="0" distB="0" distL="114300" distR="114300" simplePos="0" relativeHeight="251659264" behindDoc="1" locked="0" layoutInCell="1" allowOverlap="1" wp14:anchorId="0908CA3B" wp14:editId="007D8664">
            <wp:simplePos x="0" y="0"/>
            <wp:positionH relativeFrom="margin">
              <wp:posOffset>-87989</wp:posOffset>
            </wp:positionH>
            <wp:positionV relativeFrom="paragraph">
              <wp:posOffset>624840</wp:posOffset>
            </wp:positionV>
            <wp:extent cx="5945505" cy="2972435"/>
            <wp:effectExtent l="0" t="0" r="0" b="0"/>
            <wp:wrapTopAndBottom/>
            <wp:docPr id="716634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505" cy="2972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sz w:val="24"/>
          <w:szCs w:val="24"/>
          <w:lang w:bidi="fa-IR"/>
        </w:rPr>
        <w:t>First, animals presented to anxiogenic environment, elevated plus maze and open field (Fig 1.A, B).</w:t>
      </w:r>
    </w:p>
    <w:p w14:paraId="6385B879" w14:textId="0DEEC719" w:rsidR="000D2F66" w:rsidRDefault="000D2F66" w:rsidP="00F44111">
      <w:pPr>
        <w:rPr>
          <w:rFonts w:asciiTheme="minorBidi" w:hAnsiTheme="minorBidi"/>
          <w:sz w:val="24"/>
          <w:szCs w:val="24"/>
          <w:lang w:bidi="fa-IR"/>
        </w:rPr>
      </w:pPr>
    </w:p>
    <w:p w14:paraId="0E760EBC" w14:textId="235CB382" w:rsidR="000D2F66" w:rsidRPr="00F44111" w:rsidRDefault="000D2F66" w:rsidP="000D2F66">
      <w:pPr>
        <w:rPr>
          <w:rFonts w:asciiTheme="minorBidi" w:hAnsiTheme="minorBidi"/>
          <w:sz w:val="24"/>
          <w:szCs w:val="24"/>
          <w:lang w:bidi="fa-IR"/>
        </w:rPr>
      </w:pPr>
      <w:r w:rsidRPr="00F44111">
        <w:rPr>
          <w:rFonts w:asciiTheme="minorBidi" w:hAnsiTheme="minorBidi"/>
          <w:b/>
          <w:bCs/>
          <w:sz w:val="24"/>
          <w:szCs w:val="24"/>
          <w:lang w:bidi="fa-IR"/>
        </w:rPr>
        <w:t>Fig 1</w:t>
      </w:r>
      <w:r w:rsidRPr="00F44111">
        <w:rPr>
          <w:rFonts w:asciiTheme="minorBidi" w:hAnsiTheme="minorBidi"/>
          <w:sz w:val="24"/>
          <w:szCs w:val="24"/>
          <w:lang w:bidi="fa-IR"/>
        </w:rPr>
        <w:t xml:space="preserve">. Schematic of experimental apparatus and recordings. A, B) elevated plus maze (A) and open field apparatus (B). C)representational OB and PFC local field potentials recording. </w:t>
      </w:r>
    </w:p>
    <w:p w14:paraId="37248103" w14:textId="374ECC6D" w:rsidR="000D2F66" w:rsidRDefault="000D2F66" w:rsidP="00F44111">
      <w:pPr>
        <w:rPr>
          <w:rFonts w:asciiTheme="minorBidi" w:hAnsiTheme="minorBidi"/>
          <w:sz w:val="24"/>
          <w:szCs w:val="24"/>
          <w:lang w:bidi="fa-IR"/>
        </w:rPr>
      </w:pPr>
    </w:p>
    <w:p w14:paraId="11AC77F2" w14:textId="1C02EC00" w:rsidR="000D2F66" w:rsidRDefault="000D2F66" w:rsidP="00F44111">
      <w:pPr>
        <w:rPr>
          <w:rFonts w:asciiTheme="minorBidi" w:hAnsiTheme="minorBidi"/>
          <w:sz w:val="24"/>
          <w:szCs w:val="24"/>
          <w:lang w:bidi="fa-IR"/>
        </w:rPr>
      </w:pPr>
      <w:r w:rsidRPr="00F44111">
        <w:rPr>
          <w:rFonts w:asciiTheme="minorBidi" w:hAnsiTheme="minorBidi"/>
          <w:sz w:val="24"/>
          <w:szCs w:val="24"/>
          <w:lang w:bidi="fa-IR"/>
        </w:rPr>
        <w:t xml:space="preserve"> To</w:t>
      </w:r>
      <w:r w:rsidR="00C23A3A" w:rsidRPr="00F44111">
        <w:rPr>
          <w:rFonts w:asciiTheme="minorBidi" w:hAnsiTheme="minorBidi"/>
          <w:sz w:val="24"/>
          <w:szCs w:val="24"/>
          <w:lang w:bidi="fa-IR"/>
        </w:rPr>
        <w:t xml:space="preserve"> investigate information flow between the OB and PFC during anxiety states, </w:t>
      </w:r>
      <w:r w:rsidR="007965D0">
        <w:rPr>
          <w:rFonts w:asciiTheme="minorBidi" w:hAnsiTheme="minorBidi"/>
          <w:sz w:val="24"/>
          <w:szCs w:val="24"/>
          <w:lang w:bidi="fa-IR"/>
        </w:rPr>
        <w:t>I</w:t>
      </w:r>
      <w:r w:rsidR="00C23A3A" w:rsidRPr="00F44111">
        <w:rPr>
          <w:rFonts w:asciiTheme="minorBidi" w:hAnsiTheme="minorBidi"/>
          <w:sz w:val="24"/>
          <w:szCs w:val="24"/>
          <w:lang w:bidi="fa-IR"/>
        </w:rPr>
        <w:t xml:space="preserve"> computed pairwise Granger causality (GC) in both directions across distinct frequency bands. </w:t>
      </w:r>
      <w:r w:rsidR="007965D0">
        <w:rPr>
          <w:rFonts w:asciiTheme="minorBidi" w:hAnsiTheme="minorBidi"/>
          <w:sz w:val="24"/>
          <w:szCs w:val="24"/>
          <w:lang w:bidi="fa-IR"/>
        </w:rPr>
        <w:t>My</w:t>
      </w:r>
      <w:r w:rsidR="00C23A3A" w:rsidRPr="00F44111">
        <w:rPr>
          <w:rFonts w:asciiTheme="minorBidi" w:hAnsiTheme="minorBidi"/>
          <w:sz w:val="24"/>
          <w:szCs w:val="24"/>
          <w:lang w:bidi="fa-IR"/>
        </w:rPr>
        <w:t xml:space="preserve"> analysis revealed frequency-specific directional coupling patterns. In delta frequency band, significantly, stronger GC was observed in the OB→PFC direction compared to PFC→OB in both behavioral paradigms (EPM: p = 0.03;</w:t>
      </w:r>
      <w:r w:rsidR="008D0BC1" w:rsidRPr="00F44111">
        <w:rPr>
          <w:rFonts w:asciiTheme="minorBidi" w:hAnsiTheme="minorBidi"/>
          <w:sz w:val="24"/>
          <w:szCs w:val="24"/>
          <w:lang w:bidi="fa-IR"/>
        </w:rPr>
        <w:t xml:space="preserve"> Fig 2)</w:t>
      </w:r>
      <w:r w:rsidR="00C23A3A" w:rsidRPr="00F44111">
        <w:rPr>
          <w:rFonts w:asciiTheme="minorBidi" w:hAnsiTheme="minorBidi"/>
          <w:sz w:val="24"/>
          <w:szCs w:val="24"/>
          <w:lang w:bidi="fa-IR"/>
        </w:rPr>
        <w:t xml:space="preserve"> </w:t>
      </w:r>
      <w:r w:rsidR="008D0BC1" w:rsidRPr="00F44111">
        <w:rPr>
          <w:rFonts w:asciiTheme="minorBidi" w:hAnsiTheme="minorBidi"/>
          <w:sz w:val="24"/>
          <w:szCs w:val="24"/>
          <w:lang w:bidi="fa-IR"/>
        </w:rPr>
        <w:t>(</w:t>
      </w:r>
      <w:r w:rsidR="00C23A3A" w:rsidRPr="00F44111">
        <w:rPr>
          <w:rFonts w:asciiTheme="minorBidi" w:hAnsiTheme="minorBidi"/>
          <w:sz w:val="24"/>
          <w:szCs w:val="24"/>
          <w:lang w:bidi="fa-IR"/>
        </w:rPr>
        <w:t>OF: p = 0.0</w:t>
      </w:r>
      <w:r w:rsidR="008D0BC1" w:rsidRPr="00F44111">
        <w:rPr>
          <w:rFonts w:asciiTheme="minorBidi" w:hAnsiTheme="minorBidi"/>
          <w:sz w:val="24"/>
          <w:szCs w:val="24"/>
          <w:lang w:bidi="fa-IR"/>
        </w:rPr>
        <w:t>4</w:t>
      </w:r>
      <w:r w:rsidR="00C23A3A" w:rsidRPr="00F44111">
        <w:rPr>
          <w:rFonts w:asciiTheme="minorBidi" w:hAnsiTheme="minorBidi"/>
          <w:sz w:val="24"/>
          <w:szCs w:val="24"/>
          <w:lang w:bidi="fa-IR"/>
        </w:rPr>
        <w:t>;</w:t>
      </w:r>
      <w:r w:rsidR="008D0BC1" w:rsidRPr="00F44111">
        <w:rPr>
          <w:rFonts w:asciiTheme="minorBidi" w:hAnsiTheme="minorBidi"/>
          <w:sz w:val="24"/>
          <w:szCs w:val="24"/>
          <w:lang w:bidi="fa-IR"/>
        </w:rPr>
        <w:t xml:space="preserve"> Fig 3</w:t>
      </w:r>
      <w:r w:rsidR="00C23A3A" w:rsidRPr="00F44111">
        <w:rPr>
          <w:rFonts w:asciiTheme="minorBidi" w:hAnsiTheme="minorBidi"/>
          <w:sz w:val="24"/>
          <w:szCs w:val="24"/>
          <w:lang w:bidi="fa-IR"/>
        </w:rPr>
        <w:t xml:space="preserve">), indicating predominant bottom-up information transfer during anxious </w:t>
      </w:r>
      <w:r w:rsidR="008D0BC1" w:rsidRPr="00F44111">
        <w:rPr>
          <w:rFonts w:asciiTheme="minorBidi" w:hAnsiTheme="minorBidi"/>
          <w:sz w:val="24"/>
          <w:szCs w:val="24"/>
          <w:lang w:bidi="fa-IR"/>
        </w:rPr>
        <w:t>states.</w:t>
      </w:r>
    </w:p>
    <w:p w14:paraId="6FF1522E" w14:textId="280D9728" w:rsidR="000D2F66" w:rsidRPr="00F44111" w:rsidRDefault="000D2F66" w:rsidP="000D2F66">
      <w:pPr>
        <w:rPr>
          <w:rFonts w:asciiTheme="minorBidi" w:hAnsiTheme="minorBidi"/>
          <w:sz w:val="24"/>
          <w:szCs w:val="24"/>
          <w:lang w:bidi="fa-IR"/>
        </w:rPr>
      </w:pPr>
      <w:r>
        <w:rPr>
          <w:noProof/>
        </w:rPr>
        <w:lastRenderedPageBreak/>
        <w:drawing>
          <wp:anchor distT="0" distB="0" distL="114300" distR="114300" simplePos="0" relativeHeight="251661312" behindDoc="1" locked="0" layoutInCell="1" allowOverlap="1" wp14:anchorId="02F0FC18" wp14:editId="52D996DD">
            <wp:simplePos x="0" y="0"/>
            <wp:positionH relativeFrom="margin">
              <wp:posOffset>-405571</wp:posOffset>
            </wp:positionH>
            <wp:positionV relativeFrom="paragraph">
              <wp:posOffset>276</wp:posOffset>
            </wp:positionV>
            <wp:extent cx="6522085" cy="4138930"/>
            <wp:effectExtent l="0" t="0" r="0" b="0"/>
            <wp:wrapTopAndBottom/>
            <wp:docPr id="1730077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2085" cy="413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4111">
        <w:rPr>
          <w:rFonts w:asciiTheme="minorBidi" w:hAnsiTheme="minorBidi"/>
          <w:b/>
          <w:bCs/>
          <w:sz w:val="24"/>
          <w:szCs w:val="24"/>
          <w:lang w:bidi="fa-IR"/>
        </w:rPr>
        <w:t>Fig 2</w:t>
      </w:r>
      <w:r w:rsidRPr="00F44111">
        <w:rPr>
          <w:rFonts w:asciiTheme="minorBidi" w:hAnsiTheme="minorBidi"/>
          <w:sz w:val="24"/>
          <w:szCs w:val="24"/>
          <w:lang w:bidi="fa-IR"/>
        </w:rPr>
        <w:t xml:space="preserve">. OB-PFC delta band granger causality in EPM. Spectrogram (Left panel) and average band (Right panel) comparison of delta range granger causality in OB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PFC and PFC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OB pathways of EPM group.</w:t>
      </w:r>
    </w:p>
    <w:p w14:paraId="17EA96F0" w14:textId="77777777" w:rsidR="000D2F66" w:rsidRDefault="000D2F66" w:rsidP="000D2F66">
      <w:pPr>
        <w:rPr>
          <w:rFonts w:asciiTheme="minorBidi" w:hAnsiTheme="minorBidi"/>
          <w:sz w:val="24"/>
          <w:szCs w:val="24"/>
          <w:lang w:bidi="fa-IR"/>
        </w:rPr>
      </w:pPr>
    </w:p>
    <w:p w14:paraId="1395B9EF" w14:textId="77777777" w:rsidR="000D2F66" w:rsidRDefault="000D2F66" w:rsidP="000D2F66">
      <w:pPr>
        <w:rPr>
          <w:rFonts w:asciiTheme="minorBidi" w:hAnsiTheme="minorBidi"/>
          <w:sz w:val="24"/>
          <w:szCs w:val="24"/>
          <w:lang w:bidi="fa-IR"/>
        </w:rPr>
      </w:pPr>
    </w:p>
    <w:p w14:paraId="23986C6F" w14:textId="77777777" w:rsidR="000D2F66" w:rsidRDefault="000D2F66" w:rsidP="000D2F66">
      <w:pPr>
        <w:rPr>
          <w:rFonts w:asciiTheme="minorBidi" w:hAnsiTheme="minorBidi"/>
          <w:sz w:val="24"/>
          <w:szCs w:val="24"/>
          <w:lang w:bidi="fa-IR"/>
        </w:rPr>
      </w:pPr>
    </w:p>
    <w:p w14:paraId="631B7A9E" w14:textId="77777777" w:rsidR="000D2F66" w:rsidRDefault="000D2F66" w:rsidP="000D2F66">
      <w:pPr>
        <w:rPr>
          <w:rFonts w:asciiTheme="minorBidi" w:hAnsiTheme="minorBidi"/>
          <w:sz w:val="24"/>
          <w:szCs w:val="24"/>
          <w:lang w:bidi="fa-IR"/>
        </w:rPr>
      </w:pPr>
    </w:p>
    <w:p w14:paraId="0725DB81" w14:textId="77777777" w:rsidR="000D2F66" w:rsidRDefault="000D2F66" w:rsidP="000D2F66">
      <w:pPr>
        <w:rPr>
          <w:rFonts w:asciiTheme="minorBidi" w:hAnsiTheme="minorBidi"/>
          <w:sz w:val="24"/>
          <w:szCs w:val="24"/>
          <w:lang w:bidi="fa-IR"/>
        </w:rPr>
      </w:pPr>
    </w:p>
    <w:p w14:paraId="2971CC01" w14:textId="77777777" w:rsidR="000D2F66" w:rsidRDefault="000D2F66" w:rsidP="000D2F66">
      <w:pPr>
        <w:rPr>
          <w:rFonts w:asciiTheme="minorBidi" w:hAnsiTheme="minorBidi"/>
          <w:sz w:val="24"/>
          <w:szCs w:val="24"/>
          <w:lang w:bidi="fa-IR"/>
        </w:rPr>
      </w:pPr>
    </w:p>
    <w:p w14:paraId="1EF6863D" w14:textId="77777777" w:rsidR="000D2F66" w:rsidRDefault="000D2F66" w:rsidP="000D2F66">
      <w:pPr>
        <w:rPr>
          <w:rFonts w:asciiTheme="minorBidi" w:hAnsiTheme="minorBidi"/>
          <w:sz w:val="24"/>
          <w:szCs w:val="24"/>
          <w:lang w:bidi="fa-IR"/>
        </w:rPr>
      </w:pPr>
    </w:p>
    <w:p w14:paraId="7ACC0C43" w14:textId="77777777" w:rsidR="000D2F66" w:rsidRDefault="000D2F66" w:rsidP="000D2F66">
      <w:pPr>
        <w:rPr>
          <w:rFonts w:asciiTheme="minorBidi" w:hAnsiTheme="minorBidi"/>
          <w:sz w:val="24"/>
          <w:szCs w:val="24"/>
          <w:lang w:bidi="fa-IR"/>
        </w:rPr>
      </w:pPr>
    </w:p>
    <w:p w14:paraId="60F6B547" w14:textId="77777777" w:rsidR="000D2F66" w:rsidRDefault="000D2F66" w:rsidP="000D2F66">
      <w:pPr>
        <w:rPr>
          <w:rFonts w:asciiTheme="minorBidi" w:hAnsiTheme="minorBidi"/>
          <w:sz w:val="24"/>
          <w:szCs w:val="24"/>
          <w:lang w:bidi="fa-IR"/>
        </w:rPr>
      </w:pPr>
    </w:p>
    <w:p w14:paraId="3FBBC80C" w14:textId="77777777" w:rsidR="000D2F66" w:rsidRDefault="000D2F66" w:rsidP="000D2F66">
      <w:pPr>
        <w:rPr>
          <w:rFonts w:asciiTheme="minorBidi" w:hAnsiTheme="minorBidi"/>
          <w:sz w:val="24"/>
          <w:szCs w:val="24"/>
          <w:lang w:bidi="fa-IR"/>
        </w:rPr>
      </w:pPr>
    </w:p>
    <w:p w14:paraId="021FC0D3" w14:textId="77777777" w:rsidR="000D2F66" w:rsidRDefault="000D2F66" w:rsidP="000D2F66">
      <w:pPr>
        <w:rPr>
          <w:rFonts w:asciiTheme="minorBidi" w:hAnsiTheme="minorBidi"/>
          <w:sz w:val="24"/>
          <w:szCs w:val="24"/>
          <w:lang w:bidi="fa-IR"/>
        </w:rPr>
      </w:pPr>
    </w:p>
    <w:p w14:paraId="2BADF413" w14:textId="0EDAA80F" w:rsidR="000D2F66" w:rsidRDefault="000D2F66" w:rsidP="000D2F66">
      <w:pPr>
        <w:rPr>
          <w:rFonts w:asciiTheme="minorBidi" w:hAnsiTheme="minorBidi"/>
          <w:sz w:val="24"/>
          <w:szCs w:val="24"/>
          <w:lang w:bidi="fa-IR"/>
        </w:rPr>
      </w:pPr>
      <w:r>
        <w:rPr>
          <w:noProof/>
        </w:rPr>
        <w:lastRenderedPageBreak/>
        <w:drawing>
          <wp:anchor distT="0" distB="0" distL="114300" distR="114300" simplePos="0" relativeHeight="251663360" behindDoc="1" locked="0" layoutInCell="1" allowOverlap="1" wp14:anchorId="163D1061" wp14:editId="01CDE512">
            <wp:simplePos x="0" y="0"/>
            <wp:positionH relativeFrom="column">
              <wp:posOffset>-270510</wp:posOffset>
            </wp:positionH>
            <wp:positionV relativeFrom="paragraph">
              <wp:posOffset>110</wp:posOffset>
            </wp:positionV>
            <wp:extent cx="5981700" cy="3569970"/>
            <wp:effectExtent l="0" t="0" r="0" b="0"/>
            <wp:wrapTopAndBottom/>
            <wp:docPr id="2115133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356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D4224" w14:textId="391C75C7" w:rsidR="000D2F66" w:rsidRPr="00F44111" w:rsidRDefault="000D2F66" w:rsidP="000D2F66">
      <w:pPr>
        <w:rPr>
          <w:rFonts w:asciiTheme="minorBidi" w:hAnsiTheme="minorBidi"/>
          <w:sz w:val="24"/>
          <w:szCs w:val="24"/>
          <w:lang w:bidi="fa-IR"/>
        </w:rPr>
      </w:pPr>
      <w:r w:rsidRPr="00F44111">
        <w:rPr>
          <w:rFonts w:asciiTheme="minorBidi" w:hAnsiTheme="minorBidi"/>
          <w:b/>
          <w:bCs/>
          <w:sz w:val="24"/>
          <w:szCs w:val="24"/>
          <w:lang w:bidi="fa-IR"/>
        </w:rPr>
        <w:t>Fig 3</w:t>
      </w:r>
      <w:r w:rsidRPr="00F44111">
        <w:rPr>
          <w:rFonts w:asciiTheme="minorBidi" w:hAnsiTheme="minorBidi"/>
          <w:sz w:val="24"/>
          <w:szCs w:val="24"/>
          <w:lang w:bidi="fa-IR"/>
        </w:rPr>
        <w:t xml:space="preserve">. OB-PFC delta band granger causality in OF. Spectrogram (Left panel) and average band (Right panel) comparison of delta range granger causality in OB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PFC and PFC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OB pathways of OF group.</w:t>
      </w:r>
    </w:p>
    <w:p w14:paraId="074CA01B" w14:textId="4245FF8C" w:rsidR="000D2F66" w:rsidRDefault="000D2F66" w:rsidP="00F44111">
      <w:pPr>
        <w:rPr>
          <w:rFonts w:asciiTheme="minorBidi" w:hAnsiTheme="minorBidi"/>
          <w:sz w:val="24"/>
          <w:szCs w:val="24"/>
          <w:lang w:bidi="fa-IR"/>
        </w:rPr>
      </w:pPr>
    </w:p>
    <w:p w14:paraId="18299F2E" w14:textId="1D31A5D6" w:rsidR="000D2F66" w:rsidRDefault="008D0BC1" w:rsidP="00F44111">
      <w:pPr>
        <w:rPr>
          <w:rFonts w:asciiTheme="minorBidi" w:hAnsiTheme="minorBidi"/>
          <w:sz w:val="24"/>
          <w:szCs w:val="24"/>
          <w:lang w:bidi="fa-IR"/>
        </w:rPr>
      </w:pPr>
      <w:r w:rsidRPr="00F44111">
        <w:rPr>
          <w:rFonts w:asciiTheme="minorBidi" w:hAnsiTheme="minorBidi"/>
          <w:sz w:val="24"/>
          <w:szCs w:val="24"/>
          <w:lang w:bidi="fa-IR"/>
        </w:rPr>
        <w:t>This</w:t>
      </w:r>
      <w:r w:rsidR="00C23A3A" w:rsidRPr="00F44111">
        <w:rPr>
          <w:rFonts w:asciiTheme="minorBidi" w:hAnsiTheme="minorBidi"/>
          <w:sz w:val="24"/>
          <w:szCs w:val="24"/>
          <w:lang w:bidi="fa-IR"/>
        </w:rPr>
        <w:t xml:space="preserve"> unidirectional pattern persisted, with OB→PFC connectivity significantly surpassing PFC→OB transmission</w:t>
      </w:r>
      <w:r w:rsidR="00496E18" w:rsidRPr="00F44111">
        <w:rPr>
          <w:rFonts w:asciiTheme="minorBidi" w:hAnsiTheme="minorBidi"/>
          <w:sz w:val="24"/>
          <w:szCs w:val="24"/>
          <w:lang w:bidi="fa-IR"/>
        </w:rPr>
        <w:t xml:space="preserve"> in alpha band</w:t>
      </w:r>
      <w:r w:rsidR="00C23A3A" w:rsidRPr="00F44111">
        <w:rPr>
          <w:rFonts w:asciiTheme="minorBidi" w:hAnsiTheme="minorBidi"/>
          <w:sz w:val="24"/>
          <w:szCs w:val="24"/>
          <w:lang w:bidi="fa-IR"/>
        </w:rPr>
        <w:t xml:space="preserve"> </w:t>
      </w:r>
      <w:r w:rsidRPr="00F44111">
        <w:rPr>
          <w:rFonts w:asciiTheme="minorBidi" w:hAnsiTheme="minorBidi"/>
          <w:sz w:val="24"/>
          <w:szCs w:val="24"/>
          <w:lang w:bidi="fa-IR"/>
        </w:rPr>
        <w:t xml:space="preserve">(EPM: p </w:t>
      </w:r>
      <w:r w:rsidR="005F1182" w:rsidRPr="00F44111">
        <w:rPr>
          <w:rFonts w:asciiTheme="minorBidi" w:hAnsiTheme="minorBidi"/>
          <w:sz w:val="24"/>
          <w:szCs w:val="24"/>
          <w:lang w:bidi="fa-IR"/>
        </w:rPr>
        <w:t>=</w:t>
      </w:r>
      <w:r w:rsidRPr="00F44111">
        <w:rPr>
          <w:rFonts w:asciiTheme="minorBidi" w:hAnsiTheme="minorBidi"/>
          <w:sz w:val="24"/>
          <w:szCs w:val="24"/>
          <w:lang w:bidi="fa-IR"/>
        </w:rPr>
        <w:t>0.0</w:t>
      </w:r>
      <w:r w:rsidR="005F1182" w:rsidRPr="00F44111">
        <w:rPr>
          <w:rFonts w:asciiTheme="minorBidi" w:hAnsiTheme="minorBidi"/>
          <w:sz w:val="24"/>
          <w:szCs w:val="24"/>
          <w:lang w:bidi="fa-IR"/>
        </w:rPr>
        <w:t>3</w:t>
      </w:r>
      <w:r w:rsidRPr="00F44111">
        <w:rPr>
          <w:rFonts w:asciiTheme="minorBidi" w:hAnsiTheme="minorBidi"/>
          <w:sz w:val="24"/>
          <w:szCs w:val="24"/>
          <w:lang w:bidi="fa-IR"/>
        </w:rPr>
        <w:t xml:space="preserve">; Fig </w:t>
      </w:r>
      <w:r w:rsidR="005F1182" w:rsidRPr="00F44111">
        <w:rPr>
          <w:rFonts w:asciiTheme="minorBidi" w:hAnsiTheme="minorBidi"/>
          <w:sz w:val="24"/>
          <w:szCs w:val="24"/>
          <w:lang w:bidi="fa-IR"/>
        </w:rPr>
        <w:t>4</w:t>
      </w:r>
      <w:r w:rsidRPr="00F44111">
        <w:rPr>
          <w:rFonts w:asciiTheme="minorBidi" w:hAnsiTheme="minorBidi"/>
          <w:sz w:val="24"/>
          <w:szCs w:val="24"/>
          <w:lang w:bidi="fa-IR"/>
        </w:rPr>
        <w:t xml:space="preserve">) (OF: p </w:t>
      </w:r>
      <w:r w:rsidR="005F1182" w:rsidRPr="00F44111">
        <w:rPr>
          <w:rFonts w:asciiTheme="minorBidi" w:hAnsiTheme="minorBidi"/>
          <w:sz w:val="24"/>
          <w:szCs w:val="24"/>
          <w:lang w:bidi="fa-IR"/>
        </w:rPr>
        <w:t>=</w:t>
      </w:r>
      <w:r w:rsidRPr="00F44111">
        <w:rPr>
          <w:rFonts w:asciiTheme="minorBidi" w:hAnsiTheme="minorBidi"/>
          <w:sz w:val="24"/>
          <w:szCs w:val="24"/>
          <w:lang w:bidi="fa-IR"/>
        </w:rPr>
        <w:t xml:space="preserve"> 0.0</w:t>
      </w:r>
      <w:r w:rsidR="005F1182" w:rsidRPr="00F44111">
        <w:rPr>
          <w:rFonts w:asciiTheme="minorBidi" w:hAnsiTheme="minorBidi"/>
          <w:sz w:val="24"/>
          <w:szCs w:val="24"/>
          <w:lang w:bidi="fa-IR"/>
        </w:rPr>
        <w:t>1</w:t>
      </w:r>
      <w:r w:rsidRPr="00F44111">
        <w:rPr>
          <w:rFonts w:asciiTheme="minorBidi" w:hAnsiTheme="minorBidi"/>
          <w:sz w:val="24"/>
          <w:szCs w:val="24"/>
          <w:lang w:bidi="fa-IR"/>
        </w:rPr>
        <w:t xml:space="preserve">; Fig </w:t>
      </w:r>
      <w:r w:rsidR="005F1182" w:rsidRPr="00F44111">
        <w:rPr>
          <w:rFonts w:asciiTheme="minorBidi" w:hAnsiTheme="minorBidi"/>
          <w:sz w:val="24"/>
          <w:szCs w:val="24"/>
          <w:lang w:bidi="fa-IR"/>
        </w:rPr>
        <w:t>5</w:t>
      </w:r>
      <w:r w:rsidRPr="00F44111">
        <w:rPr>
          <w:rFonts w:asciiTheme="minorBidi" w:hAnsiTheme="minorBidi"/>
          <w:sz w:val="24"/>
          <w:szCs w:val="24"/>
          <w:lang w:bidi="fa-IR"/>
        </w:rPr>
        <w:t>)</w:t>
      </w:r>
      <w:r w:rsidR="00C23A3A" w:rsidRPr="00F44111">
        <w:rPr>
          <w:rFonts w:asciiTheme="minorBidi" w:hAnsiTheme="minorBidi"/>
          <w:sz w:val="24"/>
          <w:szCs w:val="24"/>
          <w:lang w:bidi="fa-IR"/>
        </w:rPr>
        <w:t>.</w:t>
      </w:r>
    </w:p>
    <w:p w14:paraId="5FB05A18" w14:textId="77777777" w:rsidR="000D2F66" w:rsidRDefault="000D2F66" w:rsidP="000D2F66">
      <w:pPr>
        <w:rPr>
          <w:rFonts w:asciiTheme="minorBidi" w:hAnsiTheme="minorBidi"/>
          <w:sz w:val="24"/>
          <w:szCs w:val="24"/>
          <w:lang w:bidi="fa-IR"/>
        </w:rPr>
      </w:pPr>
    </w:p>
    <w:p w14:paraId="5CBC3EED" w14:textId="77777777" w:rsidR="000D2F66" w:rsidRDefault="000D2F66" w:rsidP="000D2F66">
      <w:pPr>
        <w:rPr>
          <w:rFonts w:asciiTheme="minorBidi" w:hAnsiTheme="minorBidi"/>
          <w:sz w:val="24"/>
          <w:szCs w:val="24"/>
          <w:lang w:bidi="fa-IR"/>
        </w:rPr>
      </w:pPr>
    </w:p>
    <w:p w14:paraId="39BDCAD6" w14:textId="77777777" w:rsidR="000D2F66" w:rsidRDefault="000D2F66" w:rsidP="000D2F66">
      <w:pPr>
        <w:rPr>
          <w:rFonts w:asciiTheme="minorBidi" w:hAnsiTheme="minorBidi"/>
          <w:sz w:val="24"/>
          <w:szCs w:val="24"/>
          <w:lang w:bidi="fa-IR"/>
        </w:rPr>
      </w:pPr>
    </w:p>
    <w:p w14:paraId="4F2BA26C" w14:textId="77777777" w:rsidR="000D2F66" w:rsidRDefault="000D2F66" w:rsidP="000D2F66">
      <w:pPr>
        <w:rPr>
          <w:rFonts w:asciiTheme="minorBidi" w:hAnsiTheme="minorBidi"/>
          <w:sz w:val="24"/>
          <w:szCs w:val="24"/>
          <w:lang w:bidi="fa-IR"/>
        </w:rPr>
      </w:pPr>
    </w:p>
    <w:p w14:paraId="01C861D6" w14:textId="77777777" w:rsidR="000D2F66" w:rsidRDefault="000D2F66" w:rsidP="000D2F66">
      <w:pPr>
        <w:rPr>
          <w:rFonts w:asciiTheme="minorBidi" w:hAnsiTheme="minorBidi"/>
          <w:sz w:val="24"/>
          <w:szCs w:val="24"/>
          <w:lang w:bidi="fa-IR"/>
        </w:rPr>
      </w:pPr>
    </w:p>
    <w:p w14:paraId="55B2E291" w14:textId="77777777" w:rsidR="000D2F66" w:rsidRDefault="000D2F66" w:rsidP="000D2F66">
      <w:pPr>
        <w:rPr>
          <w:rFonts w:asciiTheme="minorBidi" w:hAnsiTheme="minorBidi"/>
          <w:sz w:val="24"/>
          <w:szCs w:val="24"/>
          <w:lang w:bidi="fa-IR"/>
        </w:rPr>
      </w:pPr>
    </w:p>
    <w:p w14:paraId="135CF3F4" w14:textId="77777777" w:rsidR="000D2F66" w:rsidRDefault="000D2F66" w:rsidP="000D2F66">
      <w:pPr>
        <w:rPr>
          <w:rFonts w:asciiTheme="minorBidi" w:hAnsiTheme="minorBidi"/>
          <w:sz w:val="24"/>
          <w:szCs w:val="24"/>
          <w:lang w:bidi="fa-IR"/>
        </w:rPr>
      </w:pPr>
    </w:p>
    <w:p w14:paraId="6C70CF91" w14:textId="77777777" w:rsidR="000D2F66" w:rsidRDefault="000D2F66" w:rsidP="000D2F66">
      <w:pPr>
        <w:rPr>
          <w:rFonts w:asciiTheme="minorBidi" w:hAnsiTheme="minorBidi"/>
          <w:sz w:val="24"/>
          <w:szCs w:val="24"/>
          <w:lang w:bidi="fa-IR"/>
        </w:rPr>
      </w:pPr>
    </w:p>
    <w:p w14:paraId="7CC22300" w14:textId="77777777" w:rsidR="000D2F66" w:rsidRDefault="000D2F66" w:rsidP="000D2F66">
      <w:pPr>
        <w:rPr>
          <w:rFonts w:asciiTheme="minorBidi" w:hAnsiTheme="minorBidi"/>
          <w:sz w:val="24"/>
          <w:szCs w:val="24"/>
          <w:lang w:bidi="fa-IR"/>
        </w:rPr>
      </w:pPr>
    </w:p>
    <w:p w14:paraId="3FC4D239" w14:textId="77777777" w:rsidR="000D2F66" w:rsidRDefault="000D2F66" w:rsidP="000D2F66">
      <w:pPr>
        <w:rPr>
          <w:rFonts w:asciiTheme="minorBidi" w:hAnsiTheme="minorBidi"/>
          <w:sz w:val="24"/>
          <w:szCs w:val="24"/>
          <w:lang w:bidi="fa-IR"/>
        </w:rPr>
      </w:pPr>
    </w:p>
    <w:p w14:paraId="709330A2" w14:textId="58EA95DE" w:rsidR="000D2F66" w:rsidRPr="000D2F66" w:rsidRDefault="000D2F66" w:rsidP="000D2F66">
      <w:pPr>
        <w:rPr>
          <w:rFonts w:asciiTheme="minorBidi" w:hAnsiTheme="minorBidi"/>
          <w:sz w:val="24"/>
          <w:szCs w:val="24"/>
          <w:lang w:bidi="fa-IR"/>
        </w:rPr>
      </w:pPr>
      <w:r>
        <w:rPr>
          <w:noProof/>
        </w:rPr>
        <w:lastRenderedPageBreak/>
        <w:drawing>
          <wp:anchor distT="0" distB="0" distL="114300" distR="114300" simplePos="0" relativeHeight="251665408" behindDoc="1" locked="0" layoutInCell="1" allowOverlap="1" wp14:anchorId="7997EC92" wp14:editId="5BF28464">
            <wp:simplePos x="0" y="0"/>
            <wp:positionH relativeFrom="page">
              <wp:posOffset>786654</wp:posOffset>
            </wp:positionH>
            <wp:positionV relativeFrom="paragraph">
              <wp:posOffset>359</wp:posOffset>
            </wp:positionV>
            <wp:extent cx="5827395" cy="3743960"/>
            <wp:effectExtent l="0" t="0" r="1905" b="8890"/>
            <wp:wrapTopAndBottom/>
            <wp:docPr id="198298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7395" cy="374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BCE4C" w14:textId="454E1412" w:rsidR="000D2F66" w:rsidRPr="00F44111" w:rsidRDefault="000D2F66" w:rsidP="000D2F66">
      <w:pPr>
        <w:rPr>
          <w:rFonts w:asciiTheme="minorBidi" w:hAnsiTheme="minorBidi"/>
          <w:sz w:val="24"/>
          <w:szCs w:val="24"/>
          <w:lang w:bidi="fa-IR"/>
        </w:rPr>
      </w:pPr>
      <w:r w:rsidRPr="00F44111">
        <w:rPr>
          <w:rFonts w:asciiTheme="minorBidi" w:hAnsiTheme="minorBidi"/>
          <w:b/>
          <w:bCs/>
          <w:sz w:val="24"/>
          <w:szCs w:val="24"/>
          <w:lang w:bidi="fa-IR"/>
        </w:rPr>
        <w:t>Fig 4</w:t>
      </w:r>
      <w:r w:rsidRPr="00F44111">
        <w:rPr>
          <w:rFonts w:asciiTheme="minorBidi" w:hAnsiTheme="minorBidi"/>
          <w:sz w:val="24"/>
          <w:szCs w:val="24"/>
          <w:lang w:bidi="fa-IR"/>
        </w:rPr>
        <w:t xml:space="preserve">. OB-PFC alpha band granger causality in EPM. Spectrogram (Left panel) and average band (Right panel) comparison of alpha range granger causality in OB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PFC and PFC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OB pathways of EPM group.</w:t>
      </w:r>
    </w:p>
    <w:p w14:paraId="226622BC" w14:textId="523D1E02" w:rsidR="000D2F66" w:rsidRPr="00F44111" w:rsidRDefault="000D2F66" w:rsidP="000D2F66">
      <w:pPr>
        <w:rPr>
          <w:rFonts w:asciiTheme="minorBidi" w:hAnsiTheme="minorBidi"/>
          <w:sz w:val="24"/>
          <w:szCs w:val="24"/>
          <w:lang w:bidi="fa-IR"/>
        </w:rPr>
      </w:pPr>
      <w:r>
        <w:rPr>
          <w:noProof/>
        </w:rPr>
        <w:lastRenderedPageBreak/>
        <w:drawing>
          <wp:anchor distT="0" distB="0" distL="114300" distR="114300" simplePos="0" relativeHeight="251667456" behindDoc="1" locked="0" layoutInCell="1" allowOverlap="1" wp14:anchorId="25F979E7" wp14:editId="45A166D3">
            <wp:simplePos x="0" y="0"/>
            <wp:positionH relativeFrom="margin">
              <wp:posOffset>-103118</wp:posOffset>
            </wp:positionH>
            <wp:positionV relativeFrom="paragraph">
              <wp:posOffset>340774</wp:posOffset>
            </wp:positionV>
            <wp:extent cx="5903595" cy="3641725"/>
            <wp:effectExtent l="0" t="0" r="1905" b="0"/>
            <wp:wrapTopAndBottom/>
            <wp:docPr id="1965734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3595" cy="364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F5A11" w14:textId="6FF62D84" w:rsidR="000D2F66" w:rsidRPr="00F44111" w:rsidRDefault="000D2F66" w:rsidP="000D2F66">
      <w:pPr>
        <w:rPr>
          <w:rFonts w:asciiTheme="minorBidi" w:hAnsiTheme="minorBidi"/>
          <w:sz w:val="24"/>
          <w:szCs w:val="24"/>
          <w:lang w:bidi="fa-IR"/>
        </w:rPr>
      </w:pPr>
      <w:r w:rsidRPr="00F44111">
        <w:rPr>
          <w:rFonts w:asciiTheme="minorBidi" w:hAnsiTheme="minorBidi"/>
          <w:b/>
          <w:bCs/>
          <w:sz w:val="24"/>
          <w:szCs w:val="24"/>
          <w:lang w:bidi="fa-IR"/>
        </w:rPr>
        <w:t>Fig 5</w:t>
      </w:r>
      <w:r w:rsidRPr="00F44111">
        <w:rPr>
          <w:rFonts w:asciiTheme="minorBidi" w:hAnsiTheme="minorBidi"/>
          <w:sz w:val="24"/>
          <w:szCs w:val="24"/>
          <w:lang w:bidi="fa-IR"/>
        </w:rPr>
        <w:t xml:space="preserve">. OB-PFC alpha band granger causality in OF. Spectrogram (Left panel) and average band (Right panel) comparison of alpha range granger causality in OB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PFC and PFC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OB pathways of OF group.</w:t>
      </w:r>
    </w:p>
    <w:p w14:paraId="1FFDEF47" w14:textId="77777777" w:rsidR="000D2F66" w:rsidRDefault="000D2F66" w:rsidP="00F44111">
      <w:pPr>
        <w:rPr>
          <w:rFonts w:asciiTheme="minorBidi" w:hAnsiTheme="minorBidi"/>
          <w:sz w:val="24"/>
          <w:szCs w:val="24"/>
          <w:lang w:bidi="fa-IR"/>
        </w:rPr>
      </w:pPr>
    </w:p>
    <w:p w14:paraId="60D4B8BE" w14:textId="6BD12F5D" w:rsidR="00C23A3A" w:rsidRDefault="00DC3B64" w:rsidP="00F44111">
      <w:pPr>
        <w:rPr>
          <w:rFonts w:asciiTheme="minorBidi" w:hAnsiTheme="minorBidi"/>
          <w:sz w:val="24"/>
          <w:szCs w:val="24"/>
          <w:lang w:bidi="fa-IR"/>
        </w:rPr>
      </w:pPr>
      <w:r w:rsidRPr="00F44111">
        <w:rPr>
          <w:rFonts w:asciiTheme="minorBidi" w:hAnsiTheme="minorBidi"/>
          <w:sz w:val="24"/>
          <w:szCs w:val="24"/>
          <w:lang w:bidi="fa-IR"/>
        </w:rPr>
        <w:t xml:space="preserve"> </w:t>
      </w:r>
      <w:r w:rsidR="00496E18" w:rsidRPr="00F44111">
        <w:rPr>
          <w:rFonts w:asciiTheme="minorBidi" w:hAnsiTheme="minorBidi"/>
          <w:sz w:val="24"/>
          <w:szCs w:val="24"/>
          <w:lang w:bidi="fa-IR"/>
        </w:rPr>
        <w:t xml:space="preserve">In beta, </w:t>
      </w:r>
      <w:r w:rsidR="008F17D2" w:rsidRPr="00F44111">
        <w:rPr>
          <w:rFonts w:asciiTheme="minorBidi" w:hAnsiTheme="minorBidi"/>
          <w:sz w:val="24"/>
          <w:szCs w:val="24"/>
          <w:lang w:bidi="fa-IR"/>
        </w:rPr>
        <w:t>the</w:t>
      </w:r>
      <w:r w:rsidRPr="00F44111">
        <w:rPr>
          <w:rFonts w:asciiTheme="minorBidi" w:hAnsiTheme="minorBidi"/>
          <w:sz w:val="24"/>
          <w:szCs w:val="24"/>
          <w:lang w:bidi="fa-IR"/>
        </w:rPr>
        <w:t xml:space="preserve"> same directional preference was observed, with OB→PFC connectivity exceeding reverse-direction coupling </w:t>
      </w:r>
      <w:r w:rsidR="005F1182" w:rsidRPr="00F44111">
        <w:rPr>
          <w:rFonts w:asciiTheme="minorBidi" w:hAnsiTheme="minorBidi"/>
          <w:sz w:val="24"/>
          <w:szCs w:val="24"/>
          <w:lang w:bidi="fa-IR"/>
        </w:rPr>
        <w:t xml:space="preserve">(EPM: p </w:t>
      </w:r>
      <w:r w:rsidR="007965D0">
        <w:rPr>
          <w:rFonts w:asciiTheme="minorBidi" w:hAnsiTheme="minorBidi"/>
          <w:sz w:val="24"/>
          <w:szCs w:val="24"/>
          <w:lang w:bidi="fa-IR"/>
        </w:rPr>
        <w:t xml:space="preserve">= </w:t>
      </w:r>
      <w:r w:rsidR="005F1182" w:rsidRPr="00F44111">
        <w:rPr>
          <w:rFonts w:asciiTheme="minorBidi" w:hAnsiTheme="minorBidi"/>
          <w:sz w:val="24"/>
          <w:szCs w:val="24"/>
          <w:lang w:bidi="fa-IR"/>
        </w:rPr>
        <w:t>0.00</w:t>
      </w:r>
      <w:r w:rsidR="007965D0">
        <w:rPr>
          <w:rFonts w:asciiTheme="minorBidi" w:hAnsiTheme="minorBidi"/>
          <w:sz w:val="24"/>
          <w:szCs w:val="24"/>
          <w:lang w:bidi="fa-IR"/>
        </w:rPr>
        <w:t>9</w:t>
      </w:r>
      <w:r w:rsidR="005F1182" w:rsidRPr="00F44111">
        <w:rPr>
          <w:rFonts w:asciiTheme="minorBidi" w:hAnsiTheme="minorBidi"/>
          <w:sz w:val="24"/>
          <w:szCs w:val="24"/>
          <w:lang w:bidi="fa-IR"/>
        </w:rPr>
        <w:t xml:space="preserve">; Fig 6) (OF: p </w:t>
      </w:r>
      <w:r w:rsidR="007965D0">
        <w:rPr>
          <w:rFonts w:asciiTheme="minorBidi" w:hAnsiTheme="minorBidi"/>
          <w:sz w:val="24"/>
          <w:szCs w:val="24"/>
          <w:lang w:bidi="fa-IR"/>
        </w:rPr>
        <w:t>=</w:t>
      </w:r>
      <w:r w:rsidR="005F1182" w:rsidRPr="00F44111">
        <w:rPr>
          <w:rFonts w:asciiTheme="minorBidi" w:hAnsiTheme="minorBidi"/>
          <w:sz w:val="24"/>
          <w:szCs w:val="24"/>
          <w:lang w:bidi="fa-IR"/>
        </w:rPr>
        <w:t xml:space="preserve"> 0.01; Fig 7)</w:t>
      </w:r>
      <w:r w:rsidRPr="00F44111">
        <w:rPr>
          <w:rFonts w:asciiTheme="minorBidi" w:hAnsiTheme="minorBidi"/>
          <w:sz w:val="24"/>
          <w:szCs w:val="24"/>
          <w:lang w:bidi="fa-IR"/>
        </w:rPr>
        <w:t>.</w:t>
      </w:r>
      <w:r w:rsidR="00F44111">
        <w:rPr>
          <w:rFonts w:asciiTheme="minorBidi" w:hAnsiTheme="minorBidi"/>
          <w:sz w:val="24"/>
          <w:szCs w:val="24"/>
          <w:lang w:bidi="fa-IR"/>
        </w:rPr>
        <w:t xml:space="preserve"> </w:t>
      </w:r>
      <w:r w:rsidR="00C23A3A" w:rsidRPr="00F44111">
        <w:rPr>
          <w:rFonts w:asciiTheme="minorBidi" w:hAnsiTheme="minorBidi"/>
          <w:sz w:val="24"/>
          <w:szCs w:val="24"/>
          <w:lang w:bidi="fa-IR"/>
        </w:rPr>
        <w:t xml:space="preserve">The consistency across </w:t>
      </w:r>
      <w:r w:rsidRPr="00F44111">
        <w:rPr>
          <w:rFonts w:asciiTheme="minorBidi" w:hAnsiTheme="minorBidi"/>
          <w:sz w:val="24"/>
          <w:szCs w:val="24"/>
          <w:lang w:bidi="fa-IR"/>
        </w:rPr>
        <w:t xml:space="preserve">all </w:t>
      </w:r>
      <w:r w:rsidR="008D0BC1" w:rsidRPr="00F44111">
        <w:rPr>
          <w:rFonts w:asciiTheme="minorBidi" w:hAnsiTheme="minorBidi"/>
          <w:sz w:val="24"/>
          <w:szCs w:val="24"/>
          <w:lang w:bidi="fa-IR"/>
        </w:rPr>
        <w:t>low-</w:t>
      </w:r>
      <w:r w:rsidRPr="00F44111">
        <w:rPr>
          <w:rFonts w:asciiTheme="minorBidi" w:hAnsiTheme="minorBidi"/>
          <w:sz w:val="24"/>
          <w:szCs w:val="24"/>
          <w:lang w:bidi="fa-IR"/>
        </w:rPr>
        <w:t>frequency</w:t>
      </w:r>
      <w:r w:rsidR="00C23A3A" w:rsidRPr="00F44111">
        <w:rPr>
          <w:rFonts w:asciiTheme="minorBidi" w:hAnsiTheme="minorBidi"/>
          <w:sz w:val="24"/>
          <w:szCs w:val="24"/>
          <w:lang w:bidi="fa-IR"/>
        </w:rPr>
        <w:t xml:space="preserve"> bands suggests a robust, frequency-invariant hierarchical organization during threat processing.</w:t>
      </w:r>
    </w:p>
    <w:p w14:paraId="4D73047A" w14:textId="77777777" w:rsidR="000D2F66" w:rsidRDefault="000D2F66" w:rsidP="000D2F66">
      <w:pPr>
        <w:rPr>
          <w:rFonts w:asciiTheme="minorBidi" w:hAnsiTheme="minorBidi"/>
          <w:sz w:val="24"/>
          <w:szCs w:val="24"/>
          <w:lang w:bidi="fa-IR"/>
        </w:rPr>
      </w:pPr>
    </w:p>
    <w:p w14:paraId="4AB328ED" w14:textId="77777777" w:rsidR="000D2F66" w:rsidRDefault="000D2F66" w:rsidP="000D2F66">
      <w:pPr>
        <w:rPr>
          <w:rFonts w:asciiTheme="minorBidi" w:hAnsiTheme="minorBidi"/>
          <w:sz w:val="24"/>
          <w:szCs w:val="24"/>
          <w:lang w:bidi="fa-IR"/>
        </w:rPr>
      </w:pPr>
    </w:p>
    <w:p w14:paraId="6E9A64A6" w14:textId="77777777" w:rsidR="000D2F66" w:rsidRDefault="000D2F66" w:rsidP="000D2F66">
      <w:pPr>
        <w:rPr>
          <w:rFonts w:asciiTheme="minorBidi" w:hAnsiTheme="minorBidi"/>
          <w:sz w:val="24"/>
          <w:szCs w:val="24"/>
          <w:lang w:bidi="fa-IR"/>
        </w:rPr>
      </w:pPr>
    </w:p>
    <w:p w14:paraId="02919A9F" w14:textId="77777777" w:rsidR="000D2F66" w:rsidRDefault="000D2F66" w:rsidP="000D2F66">
      <w:pPr>
        <w:rPr>
          <w:rFonts w:asciiTheme="minorBidi" w:hAnsiTheme="minorBidi"/>
          <w:sz w:val="24"/>
          <w:szCs w:val="24"/>
          <w:lang w:bidi="fa-IR"/>
        </w:rPr>
      </w:pPr>
    </w:p>
    <w:p w14:paraId="4B075ABE" w14:textId="77777777" w:rsidR="000D2F66" w:rsidRDefault="000D2F66" w:rsidP="000D2F66">
      <w:pPr>
        <w:rPr>
          <w:rFonts w:asciiTheme="minorBidi" w:hAnsiTheme="minorBidi"/>
          <w:sz w:val="24"/>
          <w:szCs w:val="24"/>
          <w:lang w:bidi="fa-IR"/>
        </w:rPr>
      </w:pPr>
    </w:p>
    <w:p w14:paraId="166F3127" w14:textId="77777777" w:rsidR="000D2F66" w:rsidRDefault="000D2F66" w:rsidP="000D2F66">
      <w:pPr>
        <w:rPr>
          <w:rFonts w:asciiTheme="minorBidi" w:hAnsiTheme="minorBidi"/>
          <w:sz w:val="24"/>
          <w:szCs w:val="24"/>
          <w:lang w:bidi="fa-IR"/>
        </w:rPr>
      </w:pPr>
    </w:p>
    <w:p w14:paraId="74AE073B" w14:textId="77777777" w:rsidR="000D2F66" w:rsidRDefault="000D2F66" w:rsidP="000D2F66">
      <w:pPr>
        <w:rPr>
          <w:rFonts w:asciiTheme="minorBidi" w:hAnsiTheme="minorBidi"/>
          <w:sz w:val="24"/>
          <w:szCs w:val="24"/>
          <w:lang w:bidi="fa-IR"/>
        </w:rPr>
      </w:pPr>
    </w:p>
    <w:p w14:paraId="53FAD76B" w14:textId="77777777" w:rsidR="000D2F66" w:rsidRDefault="000D2F66" w:rsidP="000D2F66">
      <w:pPr>
        <w:rPr>
          <w:rFonts w:asciiTheme="minorBidi" w:hAnsiTheme="minorBidi"/>
          <w:b/>
          <w:bCs/>
          <w:sz w:val="24"/>
          <w:szCs w:val="24"/>
          <w:lang w:bidi="fa-IR"/>
        </w:rPr>
      </w:pPr>
    </w:p>
    <w:p w14:paraId="474A8784" w14:textId="2A90CD1B" w:rsidR="000D2F66" w:rsidRDefault="000D2F66" w:rsidP="000D2F66">
      <w:pPr>
        <w:rPr>
          <w:rFonts w:asciiTheme="minorBidi" w:hAnsiTheme="minorBidi"/>
          <w:b/>
          <w:bCs/>
          <w:sz w:val="24"/>
          <w:szCs w:val="24"/>
          <w:lang w:bidi="fa-IR"/>
        </w:rPr>
      </w:pPr>
      <w:r>
        <w:rPr>
          <w:noProof/>
        </w:rPr>
        <w:lastRenderedPageBreak/>
        <w:drawing>
          <wp:anchor distT="0" distB="0" distL="114300" distR="114300" simplePos="0" relativeHeight="251669504" behindDoc="1" locked="0" layoutInCell="1" allowOverlap="1" wp14:anchorId="03A8159D" wp14:editId="754DD2EB">
            <wp:simplePos x="0" y="0"/>
            <wp:positionH relativeFrom="margin">
              <wp:align>center</wp:align>
            </wp:positionH>
            <wp:positionV relativeFrom="paragraph">
              <wp:posOffset>608</wp:posOffset>
            </wp:positionV>
            <wp:extent cx="6940550" cy="4023995"/>
            <wp:effectExtent l="0" t="0" r="0" b="0"/>
            <wp:wrapTopAndBottom/>
            <wp:docPr id="599290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0550" cy="402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84E83" w14:textId="7333F026" w:rsidR="000D2F66" w:rsidRPr="00F44111" w:rsidRDefault="000D2F66" w:rsidP="000D2F66">
      <w:pPr>
        <w:rPr>
          <w:rFonts w:asciiTheme="minorBidi" w:hAnsiTheme="minorBidi"/>
          <w:sz w:val="24"/>
          <w:szCs w:val="24"/>
          <w:lang w:bidi="fa-IR"/>
        </w:rPr>
      </w:pPr>
      <w:r w:rsidRPr="00F44111">
        <w:rPr>
          <w:rFonts w:asciiTheme="minorBidi" w:hAnsiTheme="minorBidi"/>
          <w:b/>
          <w:bCs/>
          <w:sz w:val="24"/>
          <w:szCs w:val="24"/>
          <w:lang w:bidi="fa-IR"/>
        </w:rPr>
        <w:t>Fig 6</w:t>
      </w:r>
      <w:r w:rsidRPr="00F44111">
        <w:rPr>
          <w:rFonts w:asciiTheme="minorBidi" w:hAnsiTheme="minorBidi"/>
          <w:sz w:val="24"/>
          <w:szCs w:val="24"/>
          <w:lang w:bidi="fa-IR"/>
        </w:rPr>
        <w:t xml:space="preserve">. OB-PFC beta band granger causality in EPM. Spectrogram (Left panel) and average band (Right panel) comparison of beta range granger causality in OB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PFC and PFC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OB pathways of EPM group.</w:t>
      </w:r>
    </w:p>
    <w:p w14:paraId="00568584" w14:textId="77777777" w:rsidR="000D2F66" w:rsidRDefault="000D2F66" w:rsidP="000D2F66">
      <w:pPr>
        <w:rPr>
          <w:rFonts w:asciiTheme="minorBidi" w:hAnsiTheme="minorBidi"/>
          <w:sz w:val="24"/>
          <w:szCs w:val="24"/>
          <w:lang w:bidi="fa-IR"/>
        </w:rPr>
      </w:pPr>
    </w:p>
    <w:p w14:paraId="24A7E807" w14:textId="77777777" w:rsidR="000D2F66" w:rsidRDefault="000D2F66" w:rsidP="000D2F66">
      <w:pPr>
        <w:rPr>
          <w:rFonts w:asciiTheme="minorBidi" w:hAnsiTheme="minorBidi"/>
          <w:sz w:val="24"/>
          <w:szCs w:val="24"/>
          <w:lang w:bidi="fa-IR"/>
        </w:rPr>
      </w:pPr>
    </w:p>
    <w:p w14:paraId="5326B951" w14:textId="77777777" w:rsidR="000D2F66" w:rsidRDefault="000D2F66" w:rsidP="000D2F66">
      <w:pPr>
        <w:rPr>
          <w:rFonts w:asciiTheme="minorBidi" w:hAnsiTheme="minorBidi"/>
          <w:sz w:val="24"/>
          <w:szCs w:val="24"/>
          <w:lang w:bidi="fa-IR"/>
        </w:rPr>
      </w:pPr>
    </w:p>
    <w:p w14:paraId="1375412F" w14:textId="77777777" w:rsidR="000D2F66" w:rsidRDefault="000D2F66" w:rsidP="000D2F66">
      <w:pPr>
        <w:rPr>
          <w:rFonts w:asciiTheme="minorBidi" w:hAnsiTheme="minorBidi"/>
          <w:sz w:val="24"/>
          <w:szCs w:val="24"/>
          <w:lang w:bidi="fa-IR"/>
        </w:rPr>
      </w:pPr>
    </w:p>
    <w:p w14:paraId="372FFAA7" w14:textId="77777777" w:rsidR="000D2F66" w:rsidRDefault="000D2F66" w:rsidP="000D2F66">
      <w:pPr>
        <w:rPr>
          <w:rFonts w:asciiTheme="minorBidi" w:hAnsiTheme="minorBidi"/>
          <w:sz w:val="24"/>
          <w:szCs w:val="24"/>
          <w:lang w:bidi="fa-IR"/>
        </w:rPr>
      </w:pPr>
    </w:p>
    <w:p w14:paraId="5D37B8B5" w14:textId="77777777" w:rsidR="000D2F66" w:rsidRDefault="000D2F66" w:rsidP="000D2F66">
      <w:pPr>
        <w:rPr>
          <w:rFonts w:asciiTheme="minorBidi" w:hAnsiTheme="minorBidi"/>
          <w:sz w:val="24"/>
          <w:szCs w:val="24"/>
          <w:lang w:bidi="fa-IR"/>
        </w:rPr>
      </w:pPr>
    </w:p>
    <w:p w14:paraId="060AE54E" w14:textId="77777777" w:rsidR="000D2F66" w:rsidRDefault="000D2F66" w:rsidP="000D2F66">
      <w:pPr>
        <w:rPr>
          <w:rFonts w:asciiTheme="minorBidi" w:hAnsiTheme="minorBidi"/>
          <w:sz w:val="24"/>
          <w:szCs w:val="24"/>
          <w:lang w:bidi="fa-IR"/>
        </w:rPr>
      </w:pPr>
    </w:p>
    <w:p w14:paraId="35E006AB" w14:textId="77777777" w:rsidR="000D2F66" w:rsidRDefault="000D2F66" w:rsidP="000D2F66">
      <w:pPr>
        <w:rPr>
          <w:rFonts w:asciiTheme="minorBidi" w:hAnsiTheme="minorBidi"/>
          <w:sz w:val="24"/>
          <w:szCs w:val="24"/>
          <w:lang w:bidi="fa-IR"/>
        </w:rPr>
      </w:pPr>
    </w:p>
    <w:p w14:paraId="56947B25" w14:textId="77777777" w:rsidR="000D2F66" w:rsidRDefault="000D2F66" w:rsidP="000D2F66">
      <w:pPr>
        <w:rPr>
          <w:rFonts w:asciiTheme="minorBidi" w:hAnsiTheme="minorBidi"/>
          <w:sz w:val="24"/>
          <w:szCs w:val="24"/>
          <w:lang w:bidi="fa-IR"/>
        </w:rPr>
      </w:pPr>
    </w:p>
    <w:p w14:paraId="0CFC3F3E" w14:textId="77777777" w:rsidR="000D2F66" w:rsidRDefault="000D2F66" w:rsidP="000D2F66">
      <w:pPr>
        <w:rPr>
          <w:rFonts w:asciiTheme="minorBidi" w:hAnsiTheme="minorBidi"/>
          <w:sz w:val="24"/>
          <w:szCs w:val="24"/>
          <w:lang w:bidi="fa-IR"/>
        </w:rPr>
      </w:pPr>
    </w:p>
    <w:p w14:paraId="22D5D41B" w14:textId="77777777" w:rsidR="000D2F66" w:rsidRDefault="000D2F66" w:rsidP="000D2F66">
      <w:pPr>
        <w:rPr>
          <w:rFonts w:asciiTheme="minorBidi" w:hAnsiTheme="minorBidi"/>
          <w:sz w:val="24"/>
          <w:szCs w:val="24"/>
          <w:lang w:bidi="fa-IR"/>
        </w:rPr>
      </w:pPr>
    </w:p>
    <w:p w14:paraId="2728AEA5" w14:textId="7C8E5D9D" w:rsidR="000D2F66" w:rsidRDefault="000D2F66" w:rsidP="000D2F66">
      <w:pPr>
        <w:rPr>
          <w:rFonts w:asciiTheme="minorBidi" w:hAnsiTheme="minorBidi"/>
          <w:b/>
          <w:bCs/>
          <w:sz w:val="24"/>
          <w:szCs w:val="24"/>
          <w:lang w:bidi="fa-IR"/>
        </w:rPr>
      </w:pPr>
      <w:r>
        <w:rPr>
          <w:noProof/>
        </w:rPr>
        <w:lastRenderedPageBreak/>
        <w:drawing>
          <wp:anchor distT="0" distB="0" distL="114300" distR="114300" simplePos="0" relativeHeight="251671552" behindDoc="1" locked="0" layoutInCell="1" allowOverlap="1" wp14:anchorId="22802C8F" wp14:editId="21091A97">
            <wp:simplePos x="0" y="0"/>
            <wp:positionH relativeFrom="margin">
              <wp:posOffset>-366174</wp:posOffset>
            </wp:positionH>
            <wp:positionV relativeFrom="paragraph">
              <wp:posOffset>276</wp:posOffset>
            </wp:positionV>
            <wp:extent cx="6833235" cy="3912870"/>
            <wp:effectExtent l="0" t="0" r="5715" b="0"/>
            <wp:wrapTopAndBottom/>
            <wp:docPr id="216891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3235" cy="391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C43D4" w14:textId="73CF8E2E" w:rsidR="000D2F66" w:rsidRPr="00F44111" w:rsidRDefault="000D2F66" w:rsidP="000D2F66">
      <w:pPr>
        <w:rPr>
          <w:rFonts w:asciiTheme="minorBidi" w:hAnsiTheme="minorBidi"/>
          <w:sz w:val="24"/>
          <w:szCs w:val="24"/>
          <w:lang w:bidi="fa-IR"/>
        </w:rPr>
      </w:pPr>
      <w:r w:rsidRPr="00F44111">
        <w:rPr>
          <w:rFonts w:asciiTheme="minorBidi" w:hAnsiTheme="minorBidi"/>
          <w:b/>
          <w:bCs/>
          <w:sz w:val="24"/>
          <w:szCs w:val="24"/>
          <w:lang w:bidi="fa-IR"/>
        </w:rPr>
        <w:t>Fig 7</w:t>
      </w:r>
      <w:r w:rsidRPr="00F44111">
        <w:rPr>
          <w:rFonts w:asciiTheme="minorBidi" w:hAnsiTheme="minorBidi"/>
          <w:sz w:val="24"/>
          <w:szCs w:val="24"/>
          <w:lang w:bidi="fa-IR"/>
        </w:rPr>
        <w:t xml:space="preserve">. OB-PFC beta band granger causality in OF. Spectrogram (Left panel) and average band (Right panel) comparison of beta range granger causality in OB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PFC and PFC </w:t>
      </w:r>
      <w:r w:rsidRPr="00F44111">
        <w:rPr>
          <w:rFonts w:asciiTheme="minorBidi" w:hAnsiTheme="minorBidi"/>
          <w:sz w:val="24"/>
          <w:szCs w:val="24"/>
          <w:lang w:bidi="fa-IR"/>
        </w:rPr>
        <w:sym w:font="Wingdings" w:char="F0E0"/>
      </w:r>
      <w:r w:rsidRPr="00F44111">
        <w:rPr>
          <w:rFonts w:asciiTheme="minorBidi" w:hAnsiTheme="minorBidi"/>
          <w:sz w:val="24"/>
          <w:szCs w:val="24"/>
          <w:lang w:bidi="fa-IR"/>
        </w:rPr>
        <w:t xml:space="preserve"> OB pathways of OF group.</w:t>
      </w:r>
    </w:p>
    <w:p w14:paraId="34B31420" w14:textId="430B8663" w:rsidR="000D2F66" w:rsidRPr="00F44111" w:rsidRDefault="000D2F66" w:rsidP="000D2F66">
      <w:pPr>
        <w:rPr>
          <w:rFonts w:cs="B Nazanin"/>
          <w:sz w:val="24"/>
          <w:szCs w:val="24"/>
          <w:rtl/>
          <w:lang w:bidi="fa-IR"/>
        </w:rPr>
      </w:pPr>
    </w:p>
    <w:p w14:paraId="686C09FE" w14:textId="189B0081" w:rsidR="000D2F66" w:rsidRPr="00F44111" w:rsidRDefault="000D2F66" w:rsidP="00F44111">
      <w:pPr>
        <w:rPr>
          <w:rFonts w:asciiTheme="minorBidi" w:hAnsiTheme="minorBidi"/>
          <w:sz w:val="24"/>
          <w:szCs w:val="24"/>
          <w:lang w:bidi="fa-IR"/>
        </w:rPr>
      </w:pPr>
    </w:p>
    <w:p w14:paraId="6F26A67E" w14:textId="519C1A9A" w:rsidR="00C23A3A" w:rsidRPr="00F44111" w:rsidRDefault="00C23A3A" w:rsidP="00C23A3A">
      <w:pPr>
        <w:rPr>
          <w:rFonts w:asciiTheme="minorBidi" w:hAnsiTheme="minorBidi"/>
          <w:sz w:val="24"/>
          <w:szCs w:val="24"/>
          <w:lang w:bidi="fa-IR"/>
        </w:rPr>
      </w:pPr>
    </w:p>
    <w:p w14:paraId="20DCBD93" w14:textId="075B5F34" w:rsidR="0042176D" w:rsidRPr="00F44111" w:rsidRDefault="00476199" w:rsidP="0042176D">
      <w:pPr>
        <w:rPr>
          <w:rFonts w:asciiTheme="minorBidi" w:hAnsiTheme="minorBidi"/>
          <w:b/>
          <w:bCs/>
          <w:sz w:val="24"/>
          <w:szCs w:val="24"/>
          <w:lang w:bidi="fa-IR"/>
        </w:rPr>
      </w:pPr>
      <w:r w:rsidRPr="00F44111">
        <w:rPr>
          <w:rFonts w:asciiTheme="minorBidi" w:hAnsiTheme="minorBidi"/>
          <w:b/>
          <w:bCs/>
          <w:sz w:val="24"/>
          <w:szCs w:val="24"/>
          <w:lang w:bidi="fa-IR"/>
        </w:rPr>
        <w:t>Discussion</w:t>
      </w:r>
    </w:p>
    <w:p w14:paraId="1E11AB52" w14:textId="6DFBCA1C" w:rsidR="00851D4B" w:rsidRPr="00F44111" w:rsidRDefault="00851D4B" w:rsidP="00F44111">
      <w:pPr>
        <w:rPr>
          <w:rFonts w:asciiTheme="minorBidi" w:hAnsiTheme="minorBidi"/>
          <w:b/>
          <w:bCs/>
          <w:sz w:val="24"/>
          <w:szCs w:val="24"/>
          <w:lang w:bidi="fa-IR"/>
        </w:rPr>
      </w:pPr>
      <w:r w:rsidRPr="00F44111">
        <w:rPr>
          <w:rFonts w:asciiTheme="minorBidi" w:hAnsiTheme="minorBidi"/>
          <w:sz w:val="24"/>
          <w:szCs w:val="24"/>
          <w:lang w:bidi="fa-IR"/>
        </w:rPr>
        <w:t xml:space="preserve">This study provides novel evidence for frequency-specific directional connectivity between the OB and PFC during anxiety states, revealing a consistent bottom-up information flow pattern across delta, alpha, and beta frequency bands. </w:t>
      </w:r>
      <w:r w:rsidR="007965D0">
        <w:rPr>
          <w:rFonts w:asciiTheme="minorBidi" w:hAnsiTheme="minorBidi"/>
          <w:sz w:val="24"/>
          <w:szCs w:val="24"/>
          <w:lang w:bidi="fa-IR"/>
        </w:rPr>
        <w:t>My</w:t>
      </w:r>
      <w:r w:rsidR="007965D0" w:rsidRPr="00F44111">
        <w:rPr>
          <w:rFonts w:asciiTheme="minorBidi" w:hAnsiTheme="minorBidi"/>
          <w:sz w:val="24"/>
          <w:szCs w:val="24"/>
          <w:lang w:bidi="fa-IR"/>
        </w:rPr>
        <w:t xml:space="preserve"> </w:t>
      </w:r>
      <w:r w:rsidRPr="00F44111">
        <w:rPr>
          <w:rFonts w:asciiTheme="minorBidi" w:hAnsiTheme="minorBidi"/>
          <w:sz w:val="24"/>
          <w:szCs w:val="24"/>
          <w:lang w:bidi="fa-IR"/>
        </w:rPr>
        <w:t xml:space="preserve">Granger causality analysis demonstrates that the OB→PFC pathway dominates information transfer during anxious </w:t>
      </w:r>
      <w:r w:rsidR="002A60ED" w:rsidRPr="00F44111">
        <w:rPr>
          <w:rFonts w:asciiTheme="minorBidi" w:hAnsiTheme="minorBidi"/>
          <w:sz w:val="24"/>
          <w:szCs w:val="24"/>
          <w:lang w:bidi="fa-IR"/>
        </w:rPr>
        <w:t>states,</w:t>
      </w:r>
      <w:r w:rsidRPr="00F44111">
        <w:rPr>
          <w:rFonts w:asciiTheme="minorBidi" w:hAnsiTheme="minorBidi"/>
          <w:sz w:val="24"/>
          <w:szCs w:val="24"/>
          <w:lang w:bidi="fa-IR"/>
        </w:rPr>
        <w:t xml:space="preserve"> supporting the hypothesis that olfactory-limbic circuits participate in threat processing through synchronized low-frequency oscillations.</w:t>
      </w:r>
      <w:r w:rsidR="00F44111">
        <w:rPr>
          <w:rFonts w:asciiTheme="minorBidi" w:hAnsiTheme="minorBidi"/>
          <w:b/>
          <w:bCs/>
          <w:sz w:val="24"/>
          <w:szCs w:val="24"/>
          <w:lang w:bidi="fa-IR"/>
        </w:rPr>
        <w:t xml:space="preserve"> </w:t>
      </w:r>
      <w:r w:rsidRPr="00F44111">
        <w:rPr>
          <w:rFonts w:asciiTheme="minorBidi" w:hAnsiTheme="minorBidi"/>
          <w:sz w:val="24"/>
          <w:szCs w:val="24"/>
          <w:lang w:bidi="fa-IR"/>
        </w:rPr>
        <w:t>The robust OB→PFC directional coupling observed across multiple frequency bands suggests distinct yet complementary mechanisms for sensory-limbic integration during anxiety</w:t>
      </w:r>
      <w:r w:rsidR="002A60ED" w:rsidRPr="00F44111">
        <w:rPr>
          <w:rFonts w:asciiTheme="minorBidi" w:hAnsiTheme="minorBidi"/>
          <w:sz w:val="24"/>
          <w:szCs w:val="24"/>
          <w:lang w:bidi="fa-IR"/>
        </w:rPr>
        <w:fldChar w:fldCharType="begin"/>
      </w:r>
      <w:r w:rsidR="002A60ED" w:rsidRPr="00F44111">
        <w:rPr>
          <w:rFonts w:asciiTheme="minorBidi" w:hAnsiTheme="minorBidi"/>
          <w:sz w:val="24"/>
          <w:szCs w:val="24"/>
          <w:lang w:bidi="fa-IR"/>
        </w:rPr>
        <w:instrText xml:space="preserve"> ADDIN EN.CITE &lt;EndNote&gt;&lt;Cite&gt;&lt;Author&gt;Zelano&lt;/Author&gt;&lt;Year&gt;2016&lt;/Year&gt;&lt;RecNum&gt;19&lt;/RecNum&gt;&lt;DisplayText&gt;(14)&lt;/DisplayText&gt;&lt;record&gt;&lt;rec-number&gt;19&lt;/rec-number&gt;&lt;foreign-keys&gt;&lt;key app="EN" db-id="f2xf00fz2wwffqefr5spdvwap2a2fdsadt52" timestamp="1747721670"&gt;19&lt;/key&gt;&lt;/foreign-keys&gt;&lt;ref-type name="Journal Article"&gt;17&lt;/ref-type&gt;&lt;contributors&gt;&lt;authors&gt;&lt;author&gt;Zelano, Christina&lt;/author&gt;&lt;author&gt;Jiang, Heidi&lt;/author&gt;&lt;author&gt;Zhou, Guangyu&lt;/author&gt;&lt;author&gt;Arora, Nikita&lt;/author&gt;&lt;author&gt;Schuele, Stephan&lt;/author&gt;&lt;author&gt;Rosenow, Joshua&lt;/author&gt;&lt;author&gt;Gottfried, Jay A&lt;/author&gt;&lt;/authors&gt;&lt;/contributors&gt;&lt;titles&gt;&lt;title&gt;Nasal respiration entrains human limbic oscillations and modulates cognitive function&lt;/title&gt;&lt;secondary-title&gt;Journal of Neuroscience&lt;/secondary-title&gt;&lt;/titles&gt;&lt;periodical&gt;&lt;full-title&gt;Journal of Neuroscience&lt;/full-title&gt;&lt;/periodical&gt;&lt;pages&gt;12448-12467&lt;/pages&gt;&lt;volume&gt;36&lt;/volume&gt;&lt;number&gt;49&lt;/number&gt;&lt;dates&gt;&lt;year&gt;2016&lt;/year&gt;&lt;/dates&gt;&lt;isbn&gt;0270-6474&lt;/isbn&gt;&lt;urls&gt;&lt;/urls&gt;&lt;/record&gt;&lt;/Cite&gt;&lt;/EndNote&gt;</w:instrText>
      </w:r>
      <w:r w:rsidR="002A60ED" w:rsidRPr="00F44111">
        <w:rPr>
          <w:rFonts w:asciiTheme="minorBidi" w:hAnsiTheme="minorBidi"/>
          <w:sz w:val="24"/>
          <w:szCs w:val="24"/>
          <w:lang w:bidi="fa-IR"/>
        </w:rPr>
        <w:fldChar w:fldCharType="separate"/>
      </w:r>
      <w:r w:rsidR="002A60ED" w:rsidRPr="00F44111">
        <w:rPr>
          <w:rFonts w:asciiTheme="minorBidi" w:hAnsiTheme="minorBidi"/>
          <w:noProof/>
          <w:sz w:val="24"/>
          <w:szCs w:val="24"/>
          <w:lang w:bidi="fa-IR"/>
        </w:rPr>
        <w:t>(14)</w:t>
      </w:r>
      <w:r w:rsidR="002A60ED" w:rsidRPr="00F44111">
        <w:rPr>
          <w:rFonts w:asciiTheme="minorBidi" w:hAnsiTheme="minorBidi"/>
          <w:sz w:val="24"/>
          <w:szCs w:val="24"/>
          <w:lang w:bidi="fa-IR"/>
        </w:rPr>
        <w:fldChar w:fldCharType="end"/>
      </w:r>
      <w:r w:rsidRPr="00F44111">
        <w:rPr>
          <w:rFonts w:asciiTheme="minorBidi" w:hAnsiTheme="minorBidi"/>
          <w:sz w:val="24"/>
          <w:szCs w:val="24"/>
          <w:lang w:bidi="fa-IR"/>
        </w:rPr>
        <w:t xml:space="preserve">. The delta-band effects (1-4 Hz) may reflect slow-wave coordination of distributed networks, consistent with evidence that delta oscillations facilitate long-range communication between sensory and association cortices </w:t>
      </w:r>
      <w:r w:rsidR="002A60ED" w:rsidRPr="00F44111">
        <w:rPr>
          <w:rFonts w:asciiTheme="minorBidi" w:hAnsiTheme="minorBidi"/>
          <w:sz w:val="24"/>
          <w:szCs w:val="24"/>
          <w:lang w:bidi="fa-IR"/>
        </w:rPr>
        <w:fldChar w:fldCharType="begin"/>
      </w:r>
      <w:r w:rsidR="002A60ED" w:rsidRPr="00F44111">
        <w:rPr>
          <w:rFonts w:asciiTheme="minorBidi" w:hAnsiTheme="minorBidi"/>
          <w:sz w:val="24"/>
          <w:szCs w:val="24"/>
          <w:lang w:bidi="fa-IR"/>
        </w:rPr>
        <w:instrText xml:space="preserve"> ADDIN EN.CITE &lt;EndNote&gt;&lt;Cite&gt;&lt;Author&gt;Buzsáki&lt;/Author&gt;&lt;Year&gt;2012&lt;/Year&gt;&lt;RecNum&gt;20&lt;/RecNum&gt;&lt;DisplayText&gt;(12)&lt;/DisplayText&gt;&lt;record&gt;&lt;rec-number&gt;20&lt;/rec-number&gt;&lt;foreign-keys&gt;&lt;key app="EN" db-id="f2xf00fz2wwffqefr5spdvwap2a2fdsadt52" timestamp="1747721744"&gt;20&lt;/key&gt;&lt;/foreign-keys&gt;&lt;ref-type name="Journal Article"&gt;17&lt;/ref-type&gt;&lt;contributors&gt;&lt;authors&gt;&lt;author&gt;Buzsáki, György&lt;/author&gt;&lt;author&gt;Watson, Brendon O&lt;/author&gt;&lt;/authors&gt;&lt;/contributors&gt;&lt;titles&gt;&lt;title&gt;Brain rhythms and neural syntax: implications for efficient coding of cognitive content and neuropsychiatric disease&lt;/title&gt;&lt;secondary-title&gt;Dialogues in clinical neuroscience&lt;/secondary-title&gt;&lt;/titles&gt;&lt;periodical&gt;&lt;full-title&gt;Dialogues in clinical neuroscience&lt;/full-title&gt;&lt;/periodical&gt;&lt;pages&gt;345-367&lt;/pages&gt;&lt;volume&gt;14&lt;/volume&gt;&lt;number&gt;4&lt;/number&gt;&lt;dates&gt;&lt;year&gt;2012&lt;/year&gt;&lt;/dates&gt;&lt;isbn&gt;1958-5969&lt;/isbn&gt;&lt;urls&gt;&lt;/urls&gt;&lt;/record&gt;&lt;/Cite&gt;&lt;/EndNote&gt;</w:instrText>
      </w:r>
      <w:r w:rsidR="002A60ED" w:rsidRPr="00F44111">
        <w:rPr>
          <w:rFonts w:asciiTheme="minorBidi" w:hAnsiTheme="minorBidi"/>
          <w:sz w:val="24"/>
          <w:szCs w:val="24"/>
          <w:lang w:bidi="fa-IR"/>
        </w:rPr>
        <w:fldChar w:fldCharType="separate"/>
      </w:r>
      <w:r w:rsidR="002A60ED" w:rsidRPr="00F44111">
        <w:rPr>
          <w:rFonts w:asciiTheme="minorBidi" w:hAnsiTheme="minorBidi"/>
          <w:noProof/>
          <w:sz w:val="24"/>
          <w:szCs w:val="24"/>
          <w:lang w:bidi="fa-IR"/>
        </w:rPr>
        <w:t>(12)</w:t>
      </w:r>
      <w:r w:rsidR="002A60ED" w:rsidRPr="00F44111">
        <w:rPr>
          <w:rFonts w:asciiTheme="minorBidi" w:hAnsiTheme="minorBidi"/>
          <w:sz w:val="24"/>
          <w:szCs w:val="24"/>
          <w:lang w:bidi="fa-IR"/>
        </w:rPr>
        <w:fldChar w:fldCharType="end"/>
      </w:r>
      <w:r w:rsidRPr="00F44111">
        <w:rPr>
          <w:rFonts w:asciiTheme="minorBidi" w:hAnsiTheme="minorBidi"/>
          <w:sz w:val="24"/>
          <w:szCs w:val="24"/>
          <w:lang w:bidi="fa-IR"/>
        </w:rPr>
        <w:t xml:space="preserve">. </w:t>
      </w:r>
      <w:r w:rsidR="007965D0">
        <w:rPr>
          <w:rFonts w:asciiTheme="minorBidi" w:hAnsiTheme="minorBidi"/>
          <w:sz w:val="24"/>
          <w:szCs w:val="24"/>
          <w:lang w:bidi="fa-IR"/>
        </w:rPr>
        <w:t>My</w:t>
      </w:r>
      <w:r w:rsidRPr="00F44111">
        <w:rPr>
          <w:rFonts w:asciiTheme="minorBidi" w:hAnsiTheme="minorBidi"/>
          <w:sz w:val="24"/>
          <w:szCs w:val="24"/>
          <w:lang w:bidi="fa-IR"/>
        </w:rPr>
        <w:t xml:space="preserve"> alpha-band findings </w:t>
      </w:r>
      <w:r w:rsidRPr="00F44111">
        <w:rPr>
          <w:rFonts w:asciiTheme="minorBidi" w:hAnsiTheme="minorBidi"/>
          <w:sz w:val="24"/>
          <w:szCs w:val="24"/>
          <w:lang w:bidi="fa-IR"/>
        </w:rPr>
        <w:lastRenderedPageBreak/>
        <w:t xml:space="preserve">(8-12 Hz) align with studies showing that alpha rhythms modulate attention to threat-related stimuli </w:t>
      </w:r>
      <w:r w:rsidR="002A60ED" w:rsidRPr="00F44111">
        <w:rPr>
          <w:rFonts w:asciiTheme="minorBidi" w:hAnsiTheme="minorBidi"/>
          <w:sz w:val="24"/>
          <w:szCs w:val="24"/>
          <w:lang w:bidi="fa-IR"/>
        </w:rPr>
        <w:fldChar w:fldCharType="begin"/>
      </w:r>
      <w:r w:rsidR="0042176D" w:rsidRPr="00F44111">
        <w:rPr>
          <w:rFonts w:asciiTheme="minorBidi" w:hAnsiTheme="minorBidi"/>
          <w:sz w:val="24"/>
          <w:szCs w:val="24"/>
          <w:lang w:bidi="fa-IR"/>
        </w:rPr>
        <w:instrText xml:space="preserve"> ADDIN EN.CITE &lt;EndNote&gt;&lt;Cite&gt;&lt;Author&gt;Bacigalupo&lt;/Author&gt;&lt;Year&gt;2022&lt;/Year&gt;&lt;RecNum&gt;24&lt;/RecNum&gt;&lt;DisplayText&gt;(15)&lt;/DisplayText&gt;&lt;record&gt;&lt;rec-number&gt;24&lt;/rec-number&gt;&lt;foreign-keys&gt;&lt;key app="EN" db-id="f2xf00fz2wwffqefr5spdvwap2a2fdsadt52" timestamp="1747894670"&gt;24&lt;/key&gt;&lt;/foreign-keys&gt;&lt;ref-type name="Journal Article"&gt;17&lt;/ref-type&gt;&lt;contributors&gt;&lt;authors&gt;&lt;author&gt;Bacigalupo, Felix&lt;/author&gt;&lt;author&gt;Luck, Steven J&lt;/author&gt;&lt;/authors&gt;&lt;/contributors&gt;&lt;titles&gt;&lt;title&gt;Alpha-band EEG suppression as a neural marker of sustained attentional engagement to conditioned threat stimuli&lt;/title&gt;&lt;secondary-title&gt;Social cognitive and affective neuroscience&lt;/secondary-title&gt;&lt;/titles&gt;&lt;periodical&gt;&lt;full-title&gt;Social cognitive and affective neuroscience&lt;/full-title&gt;&lt;/periodical&gt;&lt;pages&gt;1101-1117&lt;/pages&gt;&lt;volume&gt;17&lt;/volume&gt;&lt;number&gt;12&lt;/number&gt;&lt;dates&gt;&lt;year&gt;2022&lt;/year&gt;&lt;/dates&gt;&lt;isbn&gt;1749-5016&lt;/isbn&gt;&lt;urls&gt;&lt;/urls&gt;&lt;/record&gt;&lt;/Cite&gt;&lt;/EndNote&gt;</w:instrText>
      </w:r>
      <w:r w:rsidR="002A60ED" w:rsidRPr="00F44111">
        <w:rPr>
          <w:rFonts w:asciiTheme="minorBidi" w:hAnsiTheme="minorBidi"/>
          <w:sz w:val="24"/>
          <w:szCs w:val="24"/>
          <w:lang w:bidi="fa-IR"/>
        </w:rPr>
        <w:fldChar w:fldCharType="separate"/>
      </w:r>
      <w:r w:rsidR="0042176D" w:rsidRPr="00F44111">
        <w:rPr>
          <w:rFonts w:asciiTheme="minorBidi" w:hAnsiTheme="minorBidi"/>
          <w:noProof/>
          <w:sz w:val="24"/>
          <w:szCs w:val="24"/>
          <w:lang w:bidi="fa-IR"/>
        </w:rPr>
        <w:t>(15)</w:t>
      </w:r>
      <w:r w:rsidR="002A60ED" w:rsidRPr="00F44111">
        <w:rPr>
          <w:rFonts w:asciiTheme="minorBidi" w:hAnsiTheme="minorBidi"/>
          <w:sz w:val="24"/>
          <w:szCs w:val="24"/>
          <w:lang w:bidi="fa-IR"/>
        </w:rPr>
        <w:fldChar w:fldCharType="end"/>
      </w:r>
      <w:r w:rsidRPr="00F44111">
        <w:rPr>
          <w:rFonts w:asciiTheme="minorBidi" w:hAnsiTheme="minorBidi"/>
          <w:sz w:val="24"/>
          <w:szCs w:val="24"/>
          <w:lang w:bidi="fa-IR"/>
        </w:rPr>
        <w:t xml:space="preserve">, while the strong beta-band coupling (13-30 Hz) supports emerging theories about beta oscillations in maintaining anxiety-related cognitive states </w:t>
      </w:r>
      <w:r w:rsidR="002A60ED" w:rsidRPr="00F44111">
        <w:rPr>
          <w:rFonts w:asciiTheme="minorBidi" w:hAnsiTheme="minorBidi"/>
          <w:sz w:val="24"/>
          <w:szCs w:val="24"/>
          <w:lang w:bidi="fa-IR"/>
        </w:rPr>
        <w:fldChar w:fldCharType="begin"/>
      </w:r>
      <w:r w:rsidR="0042176D" w:rsidRPr="00F44111">
        <w:rPr>
          <w:rFonts w:asciiTheme="minorBidi" w:hAnsiTheme="minorBidi"/>
          <w:sz w:val="24"/>
          <w:szCs w:val="24"/>
          <w:lang w:bidi="fa-IR"/>
        </w:rPr>
        <w:instrText xml:space="preserve"> ADDIN EN.CITE &lt;EndNote&gt;&lt;Cite&gt;&lt;Author&gt;Putman&lt;/Author&gt;&lt;Year&gt;2011&lt;/Year&gt;&lt;RecNum&gt;25&lt;/RecNum&gt;&lt;DisplayText&gt;(16)&lt;/DisplayText&gt;&lt;record&gt;&lt;rec-number&gt;25&lt;/rec-number&gt;&lt;foreign-keys&gt;&lt;key app="EN" db-id="f2xf00fz2wwffqefr5spdvwap2a2fdsadt52" timestamp="1747894703"&gt;25&lt;/key&gt;&lt;/foreign-keys&gt;&lt;ref-type name="Journal Article"&gt;17&lt;/ref-type&gt;&lt;contributors&gt;&lt;authors&gt;&lt;author&gt;Putman, Peter&lt;/author&gt;&lt;/authors&gt;&lt;/contributors&gt;&lt;titles&gt;&lt;title&gt;Resting state EEG delta–beta coherence in relation to anxiety, behavioral inhibition, and selective attentional processing of threatening stimuli&lt;/title&gt;&lt;secondary-title&gt;International journal of psychophysiology&lt;/secondary-title&gt;&lt;/titles&gt;&lt;periodical&gt;&lt;full-title&gt;International journal of psychophysiology&lt;/full-title&gt;&lt;/periodical&gt;&lt;pages&gt;63-68&lt;/pages&gt;&lt;volume&gt;80&lt;/volume&gt;&lt;number&gt;1&lt;/number&gt;&lt;dates&gt;&lt;year&gt;2011&lt;/year&gt;&lt;/dates&gt;&lt;isbn&gt;0167-8760&lt;/isbn&gt;&lt;urls&gt;&lt;/urls&gt;&lt;/record&gt;&lt;/Cite&gt;&lt;/EndNote&gt;</w:instrText>
      </w:r>
      <w:r w:rsidR="002A60ED" w:rsidRPr="00F44111">
        <w:rPr>
          <w:rFonts w:asciiTheme="minorBidi" w:hAnsiTheme="minorBidi"/>
          <w:sz w:val="24"/>
          <w:szCs w:val="24"/>
          <w:lang w:bidi="fa-IR"/>
        </w:rPr>
        <w:fldChar w:fldCharType="separate"/>
      </w:r>
      <w:r w:rsidR="0042176D" w:rsidRPr="00F44111">
        <w:rPr>
          <w:rFonts w:asciiTheme="minorBidi" w:hAnsiTheme="minorBidi"/>
          <w:noProof/>
          <w:sz w:val="24"/>
          <w:szCs w:val="24"/>
          <w:lang w:bidi="fa-IR"/>
        </w:rPr>
        <w:t>(16)</w:t>
      </w:r>
      <w:r w:rsidR="002A60ED" w:rsidRPr="00F44111">
        <w:rPr>
          <w:rFonts w:asciiTheme="minorBidi" w:hAnsiTheme="minorBidi"/>
          <w:sz w:val="24"/>
          <w:szCs w:val="24"/>
          <w:lang w:bidi="fa-IR"/>
        </w:rPr>
        <w:fldChar w:fldCharType="end"/>
      </w:r>
      <w:r w:rsidRPr="00F44111">
        <w:rPr>
          <w:rFonts w:asciiTheme="minorBidi" w:hAnsiTheme="minorBidi"/>
          <w:sz w:val="24"/>
          <w:szCs w:val="24"/>
          <w:lang w:bidi="fa-IR"/>
        </w:rPr>
        <w:t>. Notably, the consistency of this directional pattern across both EPM and OF paradigms suggests it represents a fundamental feature of anxiety neurocircuitry rather than test-specific artifact.</w:t>
      </w:r>
      <w:r w:rsidR="00F44111">
        <w:rPr>
          <w:rFonts w:asciiTheme="minorBidi" w:hAnsiTheme="minorBidi"/>
          <w:b/>
          <w:bCs/>
          <w:sz w:val="24"/>
          <w:szCs w:val="24"/>
          <w:lang w:bidi="fa-IR"/>
        </w:rPr>
        <w:t xml:space="preserve"> </w:t>
      </w:r>
      <w:r w:rsidRPr="00F44111">
        <w:rPr>
          <w:rFonts w:asciiTheme="minorBidi" w:hAnsiTheme="minorBidi"/>
          <w:sz w:val="24"/>
          <w:szCs w:val="24"/>
          <w:lang w:bidi="fa-IR"/>
        </w:rPr>
        <w:t xml:space="preserve">These findings extend previous work on OB-PFC interactions in several important ways. First, while prior studies focused primarily on theta-rhythm synchronization (13), </w:t>
      </w:r>
      <w:r w:rsidR="007965D0">
        <w:rPr>
          <w:rFonts w:asciiTheme="minorBidi" w:hAnsiTheme="minorBidi"/>
          <w:sz w:val="24"/>
          <w:szCs w:val="24"/>
          <w:lang w:bidi="fa-IR"/>
        </w:rPr>
        <w:t>I</w:t>
      </w:r>
      <w:r w:rsidRPr="00F44111">
        <w:rPr>
          <w:rFonts w:asciiTheme="minorBidi" w:hAnsiTheme="minorBidi"/>
          <w:sz w:val="24"/>
          <w:szCs w:val="24"/>
          <w:lang w:bidi="fa-IR"/>
        </w:rPr>
        <w:t xml:space="preserve"> demonstrate that multiple frequency bands coordinate OB-PFC communication during anxiety. Second, </w:t>
      </w:r>
      <w:r w:rsidR="00E650CA">
        <w:rPr>
          <w:rFonts w:asciiTheme="minorBidi" w:hAnsiTheme="minorBidi"/>
          <w:sz w:val="24"/>
          <w:szCs w:val="24"/>
          <w:lang w:bidi="fa-IR"/>
        </w:rPr>
        <w:t>my</w:t>
      </w:r>
      <w:r w:rsidRPr="00F44111">
        <w:rPr>
          <w:rFonts w:asciiTheme="minorBidi" w:hAnsiTheme="minorBidi"/>
          <w:sz w:val="24"/>
          <w:szCs w:val="24"/>
          <w:lang w:bidi="fa-IR"/>
        </w:rPr>
        <w:t xml:space="preserve"> use of Granger causality establishes temporal precedence, suggesting the OB may drive PFC activity during threat processing rather than merely correlating with it. This is particularly significant given the PFC's established role in fear extinction and threat appraisal (8-10). The anatomical basis for this directional coupling likely involves the OB's direct projections to limbic-PFC regions (4,5), which </w:t>
      </w:r>
      <w:r w:rsidR="007965D0">
        <w:rPr>
          <w:rFonts w:asciiTheme="minorBidi" w:hAnsiTheme="minorBidi"/>
          <w:sz w:val="24"/>
          <w:szCs w:val="24"/>
          <w:lang w:bidi="fa-IR"/>
        </w:rPr>
        <w:t>My</w:t>
      </w:r>
      <w:r w:rsidR="007965D0" w:rsidRPr="00F44111">
        <w:rPr>
          <w:rFonts w:asciiTheme="minorBidi" w:hAnsiTheme="minorBidi"/>
          <w:sz w:val="24"/>
          <w:szCs w:val="24"/>
          <w:lang w:bidi="fa-IR"/>
        </w:rPr>
        <w:t xml:space="preserve"> </w:t>
      </w:r>
      <w:r w:rsidRPr="00F44111">
        <w:rPr>
          <w:rFonts w:asciiTheme="minorBidi" w:hAnsiTheme="minorBidi"/>
          <w:sz w:val="24"/>
          <w:szCs w:val="24"/>
          <w:lang w:bidi="fa-IR"/>
        </w:rPr>
        <w:t>study functionally validates through causal connectivity measures.</w:t>
      </w:r>
    </w:p>
    <w:p w14:paraId="4E6B5D6C" w14:textId="076BD286" w:rsidR="006E4140" w:rsidRDefault="00413EFF" w:rsidP="00F44111">
      <w:pPr>
        <w:rPr>
          <w:rFonts w:asciiTheme="minorBidi" w:hAnsiTheme="minorBidi"/>
          <w:sz w:val="24"/>
          <w:szCs w:val="24"/>
          <w:lang w:bidi="fa-IR"/>
        </w:rPr>
      </w:pPr>
      <w:r w:rsidRPr="00F44111">
        <w:rPr>
          <w:rFonts w:asciiTheme="minorBidi" w:hAnsiTheme="minorBidi"/>
          <w:b/>
          <w:bCs/>
          <w:sz w:val="24"/>
          <w:szCs w:val="24"/>
          <w:lang w:bidi="fa-IR"/>
        </w:rPr>
        <w:t>Conclusion</w:t>
      </w:r>
      <w:r w:rsidRPr="00F44111">
        <w:rPr>
          <w:rFonts w:asciiTheme="minorBidi" w:hAnsiTheme="minorBidi"/>
          <w:sz w:val="24"/>
          <w:szCs w:val="24"/>
          <w:lang w:bidi="fa-IR"/>
        </w:rPr>
        <w:br/>
      </w:r>
      <w:r w:rsidR="00851D4B" w:rsidRPr="00F44111">
        <w:rPr>
          <w:rFonts w:asciiTheme="minorBidi" w:hAnsiTheme="minorBidi"/>
          <w:sz w:val="24"/>
          <w:szCs w:val="24"/>
          <w:lang w:bidi="fa-IR"/>
        </w:rPr>
        <w:t xml:space="preserve">By demonstrating frequency-specific bottom-up OB→PFC connectivity during anxiety states, </w:t>
      </w:r>
      <w:r w:rsidR="00E650CA">
        <w:rPr>
          <w:rFonts w:asciiTheme="minorBidi" w:hAnsiTheme="minorBidi"/>
          <w:sz w:val="24"/>
          <w:szCs w:val="24"/>
          <w:lang w:bidi="fa-IR"/>
        </w:rPr>
        <w:t>my</w:t>
      </w:r>
      <w:r w:rsidR="00851D4B" w:rsidRPr="00F44111">
        <w:rPr>
          <w:rFonts w:asciiTheme="minorBidi" w:hAnsiTheme="minorBidi"/>
          <w:sz w:val="24"/>
          <w:szCs w:val="24"/>
          <w:lang w:bidi="fa-IR"/>
        </w:rPr>
        <w:t xml:space="preserve"> findings position the olfactory-prefrontal axis as a crucial substrate for anxiety pathophysiology. The distinct yet complementary roles of delta, alpha, and beta oscillations suggest a multi-layered model of sensory-limbic integration during threat processing. These results open new avenues for targeted interventions, potentially through frequency-specific neuromodulation of the OB-PFC pathway. Furthermore, </w:t>
      </w:r>
      <w:r w:rsidR="00E650CA">
        <w:rPr>
          <w:rFonts w:asciiTheme="minorBidi" w:hAnsiTheme="minorBidi"/>
          <w:sz w:val="24"/>
          <w:szCs w:val="24"/>
          <w:lang w:bidi="fa-IR"/>
        </w:rPr>
        <w:t>my</w:t>
      </w:r>
      <w:r w:rsidR="00851D4B" w:rsidRPr="00F44111">
        <w:rPr>
          <w:rFonts w:asciiTheme="minorBidi" w:hAnsiTheme="minorBidi"/>
          <w:sz w:val="24"/>
          <w:szCs w:val="24"/>
          <w:lang w:bidi="fa-IR"/>
        </w:rPr>
        <w:t xml:space="preserve"> findings highlight the importance of considering multiple frequency bands when investigating neural circuits of anxiety, as different oscillatory rhythms may subserve distinct aspects of threat processing and anxiety maintenance.</w:t>
      </w:r>
      <w:bookmarkEnd w:id="5"/>
      <w:bookmarkEnd w:id="6"/>
    </w:p>
    <w:p w14:paraId="63FE37F5" w14:textId="77777777" w:rsidR="00F71933" w:rsidRPr="00F651F5" w:rsidRDefault="00F71933" w:rsidP="00F71933">
      <w:pPr>
        <w:rPr>
          <w:rFonts w:asciiTheme="minorBidi" w:hAnsiTheme="minorBidi"/>
          <w:sz w:val="24"/>
          <w:szCs w:val="24"/>
          <w:lang w:bidi="fa-IR"/>
        </w:rPr>
      </w:pPr>
      <w:r w:rsidRPr="00F651F5">
        <w:rPr>
          <w:rFonts w:asciiTheme="minorBidi" w:hAnsiTheme="minorBidi"/>
          <w:b/>
          <w:bCs/>
          <w:sz w:val="24"/>
          <w:szCs w:val="24"/>
          <w:lang w:bidi="fa-IR"/>
        </w:rPr>
        <w:t>Acknowledgments</w:t>
      </w:r>
    </w:p>
    <w:p w14:paraId="6F567CCA" w14:textId="72765577" w:rsidR="00F71933" w:rsidRPr="00F44111" w:rsidRDefault="00F71933" w:rsidP="00F71933">
      <w:pPr>
        <w:rPr>
          <w:rFonts w:asciiTheme="minorBidi" w:hAnsiTheme="minorBidi"/>
          <w:sz w:val="24"/>
          <w:szCs w:val="24"/>
          <w:lang w:bidi="fa-IR"/>
        </w:rPr>
      </w:pPr>
      <w:r>
        <w:rPr>
          <w:rFonts w:asciiTheme="minorBidi" w:hAnsiTheme="minorBidi"/>
          <w:sz w:val="24"/>
          <w:szCs w:val="24"/>
          <w:lang w:bidi="fa-IR"/>
        </w:rPr>
        <w:t>I</w:t>
      </w:r>
      <w:r w:rsidRPr="00F651F5">
        <w:rPr>
          <w:rFonts w:asciiTheme="minorBidi" w:hAnsiTheme="minorBidi"/>
          <w:sz w:val="24"/>
          <w:szCs w:val="24"/>
          <w:lang w:bidi="fa-IR"/>
        </w:rPr>
        <w:t xml:space="preserve"> thank Mohammad Reza Raoufy</w:t>
      </w:r>
      <w:r>
        <w:rPr>
          <w:rFonts w:asciiTheme="minorBidi" w:hAnsiTheme="minorBidi"/>
          <w:sz w:val="24"/>
          <w:szCs w:val="24"/>
          <w:lang w:bidi="fa-IR"/>
        </w:rPr>
        <w:t xml:space="preserve">, </w:t>
      </w:r>
      <w:r w:rsidRPr="00F651F5">
        <w:rPr>
          <w:rFonts w:asciiTheme="minorBidi" w:hAnsiTheme="minorBidi"/>
          <w:sz w:val="24"/>
          <w:szCs w:val="24"/>
          <w:lang w:bidi="fa-IR"/>
        </w:rPr>
        <w:t>Mohammad Ali Mirshekar</w:t>
      </w:r>
      <w:r>
        <w:rPr>
          <w:rFonts w:asciiTheme="minorBidi" w:hAnsiTheme="minorBidi"/>
          <w:sz w:val="24"/>
          <w:szCs w:val="24"/>
          <w:lang w:bidi="fa-IR"/>
        </w:rPr>
        <w:t xml:space="preserve"> and Morteza Mooziri</w:t>
      </w:r>
      <w:r w:rsidRPr="00F651F5">
        <w:rPr>
          <w:rFonts w:asciiTheme="minorBidi" w:hAnsiTheme="minorBidi"/>
          <w:sz w:val="24"/>
          <w:szCs w:val="24"/>
          <w:lang w:bidi="fa-IR"/>
        </w:rPr>
        <w:t xml:space="preserve"> for their valuable assistance with experiments and data analysis.</w:t>
      </w:r>
    </w:p>
    <w:p w14:paraId="02552657" w14:textId="77777777" w:rsidR="006E4140" w:rsidRPr="00F44111" w:rsidRDefault="006E4140" w:rsidP="006E4140">
      <w:pPr>
        <w:rPr>
          <w:rFonts w:asciiTheme="minorBidi" w:hAnsiTheme="minorBidi"/>
          <w:b/>
          <w:bCs/>
          <w:sz w:val="24"/>
          <w:szCs w:val="24"/>
          <w:lang w:bidi="fa-IR"/>
        </w:rPr>
      </w:pPr>
      <w:r w:rsidRPr="00F44111">
        <w:rPr>
          <w:rFonts w:asciiTheme="minorBidi" w:hAnsiTheme="minorBidi"/>
          <w:b/>
          <w:bCs/>
          <w:sz w:val="24"/>
          <w:szCs w:val="24"/>
          <w:lang w:bidi="fa-IR"/>
        </w:rPr>
        <w:t>Conflict of interest</w:t>
      </w:r>
    </w:p>
    <w:p w14:paraId="0A5921A6" w14:textId="603037D3" w:rsidR="006E4140" w:rsidRPr="00F44111" w:rsidRDefault="006E4140" w:rsidP="006E4140">
      <w:pPr>
        <w:rPr>
          <w:rFonts w:asciiTheme="minorBidi" w:hAnsiTheme="minorBidi"/>
          <w:sz w:val="24"/>
          <w:szCs w:val="24"/>
          <w:lang w:bidi="fa-IR"/>
        </w:rPr>
      </w:pPr>
      <w:r w:rsidRPr="00F44111">
        <w:rPr>
          <w:rFonts w:asciiTheme="minorBidi" w:hAnsiTheme="minorBidi"/>
          <w:sz w:val="24"/>
          <w:szCs w:val="24"/>
          <w:lang w:bidi="fa-IR"/>
        </w:rPr>
        <w:t>The author declare that have no known competing financial interests or personal relationships that could have appeared to influence the work reported in this paper</w:t>
      </w:r>
    </w:p>
    <w:p w14:paraId="186C949B" w14:textId="77777777" w:rsidR="006E4140" w:rsidRPr="00F44111" w:rsidRDefault="006E4140" w:rsidP="006E4140">
      <w:pPr>
        <w:rPr>
          <w:rFonts w:asciiTheme="minorBidi" w:hAnsiTheme="minorBidi"/>
          <w:b/>
          <w:bCs/>
          <w:sz w:val="24"/>
          <w:szCs w:val="24"/>
          <w:lang w:bidi="fa-IR"/>
        </w:rPr>
      </w:pPr>
      <w:r w:rsidRPr="00F44111">
        <w:rPr>
          <w:rFonts w:asciiTheme="minorBidi" w:hAnsiTheme="minorBidi"/>
          <w:b/>
          <w:bCs/>
          <w:sz w:val="24"/>
          <w:szCs w:val="24"/>
          <w:lang w:bidi="fa-IR"/>
        </w:rPr>
        <w:t>Authors contribution</w:t>
      </w:r>
    </w:p>
    <w:p w14:paraId="0F34FA55" w14:textId="281DD5E8" w:rsidR="006E4140" w:rsidRPr="00F44111" w:rsidRDefault="006E4140" w:rsidP="006E4140">
      <w:pPr>
        <w:rPr>
          <w:rFonts w:asciiTheme="minorBidi" w:hAnsiTheme="minorBidi"/>
          <w:sz w:val="24"/>
          <w:szCs w:val="24"/>
          <w:lang w:bidi="fa-IR"/>
        </w:rPr>
      </w:pPr>
      <w:bookmarkStart w:id="7" w:name="_Hlk198803483"/>
      <w:r w:rsidRPr="00F44111">
        <w:rPr>
          <w:rFonts w:asciiTheme="minorBidi" w:hAnsiTheme="minorBidi"/>
          <w:sz w:val="24"/>
          <w:szCs w:val="24"/>
          <w:lang w:bidi="fa-IR"/>
        </w:rPr>
        <w:t xml:space="preserve">AS: conducting the </w:t>
      </w:r>
      <w:r w:rsidR="002A60ED" w:rsidRPr="00F44111">
        <w:rPr>
          <w:rFonts w:asciiTheme="minorBidi" w:hAnsiTheme="minorBidi"/>
          <w:sz w:val="24"/>
          <w:szCs w:val="24"/>
          <w:lang w:bidi="fa-IR"/>
        </w:rPr>
        <w:t>experiment; data analysis</w:t>
      </w:r>
      <w:r w:rsidRPr="00F44111">
        <w:rPr>
          <w:rFonts w:asciiTheme="minorBidi" w:hAnsiTheme="minorBidi"/>
          <w:sz w:val="24"/>
          <w:szCs w:val="24"/>
          <w:lang w:bidi="fa-IR"/>
        </w:rPr>
        <w:t>; writing, and editing the</w:t>
      </w:r>
    </w:p>
    <w:p w14:paraId="18320CAD" w14:textId="22BBCAB4" w:rsidR="006E4140" w:rsidRPr="00F44111" w:rsidRDefault="006E4140" w:rsidP="006E4140">
      <w:pPr>
        <w:rPr>
          <w:rFonts w:asciiTheme="minorBidi" w:hAnsiTheme="minorBidi"/>
          <w:sz w:val="24"/>
          <w:szCs w:val="24"/>
          <w:lang w:bidi="fa-IR"/>
        </w:rPr>
      </w:pPr>
      <w:r w:rsidRPr="00F44111">
        <w:rPr>
          <w:rFonts w:asciiTheme="minorBidi" w:hAnsiTheme="minorBidi"/>
          <w:sz w:val="24"/>
          <w:szCs w:val="24"/>
          <w:lang w:bidi="fa-IR"/>
        </w:rPr>
        <w:t>Manuscript.</w:t>
      </w:r>
    </w:p>
    <w:bookmarkEnd w:id="7"/>
    <w:p w14:paraId="531CFA4D" w14:textId="77777777" w:rsidR="006E4140" w:rsidRPr="00F44111" w:rsidRDefault="006E4140" w:rsidP="006E4140">
      <w:pPr>
        <w:rPr>
          <w:rFonts w:asciiTheme="minorBidi" w:hAnsiTheme="minorBidi"/>
          <w:b/>
          <w:bCs/>
          <w:sz w:val="24"/>
          <w:szCs w:val="24"/>
          <w:lang w:bidi="fa-IR"/>
        </w:rPr>
      </w:pPr>
      <w:r w:rsidRPr="00F44111">
        <w:rPr>
          <w:rFonts w:asciiTheme="minorBidi" w:hAnsiTheme="minorBidi"/>
          <w:b/>
          <w:bCs/>
          <w:sz w:val="24"/>
          <w:szCs w:val="24"/>
          <w:lang w:bidi="fa-IR"/>
        </w:rPr>
        <w:t>Funding</w:t>
      </w:r>
    </w:p>
    <w:p w14:paraId="52668FD7" w14:textId="40B9B9F5" w:rsidR="007965D0" w:rsidRPr="00F71933" w:rsidRDefault="002A60ED" w:rsidP="00F71933">
      <w:pPr>
        <w:rPr>
          <w:rFonts w:asciiTheme="minorBidi" w:hAnsiTheme="minorBidi"/>
          <w:sz w:val="24"/>
          <w:szCs w:val="24"/>
          <w:rtl/>
          <w:lang w:bidi="fa-IR"/>
        </w:rPr>
      </w:pPr>
      <w:bookmarkStart w:id="8" w:name="_Hlk198803463"/>
      <w:r w:rsidRPr="00F44111">
        <w:rPr>
          <w:rFonts w:asciiTheme="minorBidi" w:hAnsiTheme="minorBidi"/>
          <w:sz w:val="24"/>
          <w:szCs w:val="24"/>
          <w:lang w:bidi="fa-IR"/>
        </w:rPr>
        <w:t>This study was funded by Student Research Committee at Zahedan University of Medical Sciences (grant number:10113)</w:t>
      </w:r>
      <w:bookmarkEnd w:id="0"/>
      <w:bookmarkEnd w:id="8"/>
    </w:p>
    <w:p w14:paraId="67269D3F" w14:textId="77777777" w:rsidR="007965D0" w:rsidRPr="00FB7E38" w:rsidRDefault="007965D0" w:rsidP="007965D0">
      <w:pPr>
        <w:rPr>
          <w:rFonts w:cs="B Nazanin"/>
          <w:b/>
          <w:bCs/>
          <w:sz w:val="24"/>
          <w:szCs w:val="24"/>
          <w:rtl/>
          <w:lang w:bidi="fa-IR"/>
        </w:rPr>
      </w:pPr>
      <w:r w:rsidRPr="00FB7E38">
        <w:rPr>
          <w:rFonts w:asciiTheme="minorBidi" w:hAnsiTheme="minorBidi"/>
          <w:b/>
          <w:bCs/>
          <w:sz w:val="24"/>
          <w:szCs w:val="24"/>
          <w:lang w:bidi="fa-IR"/>
        </w:rPr>
        <w:lastRenderedPageBreak/>
        <w:t>References</w:t>
      </w:r>
    </w:p>
    <w:p w14:paraId="0D9DC6B0" w14:textId="77777777" w:rsidR="0042176D" w:rsidRPr="00F44111" w:rsidRDefault="00E55B95" w:rsidP="0042176D">
      <w:pPr>
        <w:pStyle w:val="EndNoteBibliography"/>
        <w:spacing w:after="0"/>
        <w:rPr>
          <w:sz w:val="24"/>
          <w:szCs w:val="24"/>
          <w:rtl/>
        </w:rPr>
      </w:pPr>
      <w:r w:rsidRPr="00F44111">
        <w:rPr>
          <w:rFonts w:cs="B Nazanin"/>
          <w:sz w:val="24"/>
          <w:szCs w:val="24"/>
          <w:rtl/>
          <w:lang w:bidi="fa-IR"/>
        </w:rPr>
        <w:fldChar w:fldCharType="begin"/>
      </w:r>
      <w:r w:rsidRPr="00F44111">
        <w:rPr>
          <w:rFonts w:cs="B Nazanin"/>
          <w:sz w:val="24"/>
          <w:szCs w:val="24"/>
          <w:rtl/>
          <w:lang w:bidi="fa-IR"/>
        </w:rPr>
        <w:instrText xml:space="preserve"> </w:instrText>
      </w:r>
      <w:r w:rsidRPr="00F44111">
        <w:rPr>
          <w:rFonts w:cs="B Nazanin"/>
          <w:sz w:val="24"/>
          <w:szCs w:val="24"/>
          <w:lang w:bidi="fa-IR"/>
        </w:rPr>
        <w:instrText>ADDIN EN.REFLIST</w:instrText>
      </w:r>
      <w:r w:rsidRPr="00F44111">
        <w:rPr>
          <w:rFonts w:cs="B Nazanin"/>
          <w:sz w:val="24"/>
          <w:szCs w:val="24"/>
          <w:rtl/>
          <w:lang w:bidi="fa-IR"/>
        </w:rPr>
        <w:instrText xml:space="preserve"> </w:instrText>
      </w:r>
      <w:r w:rsidRPr="00F44111">
        <w:rPr>
          <w:rFonts w:cs="B Nazanin"/>
          <w:sz w:val="24"/>
          <w:szCs w:val="24"/>
          <w:rtl/>
          <w:lang w:bidi="fa-IR"/>
        </w:rPr>
        <w:fldChar w:fldCharType="separate"/>
      </w:r>
      <w:r w:rsidR="0042176D" w:rsidRPr="00F44111">
        <w:rPr>
          <w:sz w:val="24"/>
          <w:szCs w:val="24"/>
          <w:rtl/>
        </w:rPr>
        <w:t>1.</w:t>
      </w:r>
      <w:r w:rsidR="0042176D" w:rsidRPr="00F44111">
        <w:rPr>
          <w:sz w:val="24"/>
          <w:szCs w:val="24"/>
          <w:rtl/>
        </w:rPr>
        <w:tab/>
      </w:r>
      <w:r w:rsidR="0042176D" w:rsidRPr="00F44111">
        <w:rPr>
          <w:sz w:val="24"/>
          <w:szCs w:val="24"/>
        </w:rPr>
        <w:t>Bandelow B, Michaelis S. Epidemiology of anxiety disorders in the 21st century. Dialogues in clinical neuroscience. 2015;17(3):327-35</w:t>
      </w:r>
      <w:r w:rsidR="0042176D" w:rsidRPr="00F44111">
        <w:rPr>
          <w:sz w:val="24"/>
          <w:szCs w:val="24"/>
          <w:rtl/>
        </w:rPr>
        <w:t>.</w:t>
      </w:r>
    </w:p>
    <w:p w14:paraId="7B3703A6" w14:textId="77777777" w:rsidR="0042176D" w:rsidRPr="00F44111" w:rsidRDefault="0042176D" w:rsidP="0042176D">
      <w:pPr>
        <w:pStyle w:val="EndNoteBibliography"/>
        <w:spacing w:after="0"/>
        <w:rPr>
          <w:sz w:val="24"/>
          <w:szCs w:val="24"/>
          <w:rtl/>
        </w:rPr>
      </w:pPr>
      <w:r w:rsidRPr="00F44111">
        <w:rPr>
          <w:sz w:val="24"/>
          <w:szCs w:val="24"/>
          <w:rtl/>
        </w:rPr>
        <w:t>2.</w:t>
      </w:r>
      <w:r w:rsidRPr="00F44111">
        <w:rPr>
          <w:sz w:val="24"/>
          <w:szCs w:val="24"/>
          <w:rtl/>
        </w:rPr>
        <w:tab/>
      </w:r>
      <w:r w:rsidRPr="00F44111">
        <w:rPr>
          <w:sz w:val="24"/>
          <w:szCs w:val="24"/>
        </w:rPr>
        <w:t>Connelly T, Yu Y, Grosmaitre X, Wang J, Santarelli LC, Savigner A, et al. G protein-coupled odorant receptors underlie mechanosensitivity in mammalian olfactory sensory neurons. Proceedings of the National Academy of Sciences. 2015;112(2):590-5</w:t>
      </w:r>
      <w:r w:rsidRPr="00F44111">
        <w:rPr>
          <w:sz w:val="24"/>
          <w:szCs w:val="24"/>
          <w:rtl/>
        </w:rPr>
        <w:t>.</w:t>
      </w:r>
    </w:p>
    <w:p w14:paraId="69E94126" w14:textId="77777777" w:rsidR="0042176D" w:rsidRPr="00F44111" w:rsidRDefault="0042176D" w:rsidP="0042176D">
      <w:pPr>
        <w:pStyle w:val="EndNoteBibliography"/>
        <w:spacing w:after="0"/>
        <w:rPr>
          <w:sz w:val="24"/>
          <w:szCs w:val="24"/>
          <w:rtl/>
        </w:rPr>
      </w:pPr>
      <w:r w:rsidRPr="00F44111">
        <w:rPr>
          <w:sz w:val="24"/>
          <w:szCs w:val="24"/>
          <w:rtl/>
        </w:rPr>
        <w:t>3.</w:t>
      </w:r>
      <w:r w:rsidRPr="00F44111">
        <w:rPr>
          <w:sz w:val="24"/>
          <w:szCs w:val="24"/>
          <w:rtl/>
        </w:rPr>
        <w:tab/>
      </w:r>
      <w:r w:rsidRPr="00F44111">
        <w:rPr>
          <w:sz w:val="24"/>
          <w:szCs w:val="24"/>
        </w:rPr>
        <w:t>Grosmaitre X, Santarelli LC, Tan J, Luo M, Ma M. Dual functions of mammalian olfactory sensory neurons as odor detectors</w:t>
      </w:r>
      <w:r w:rsidRPr="00F44111">
        <w:rPr>
          <w:sz w:val="24"/>
          <w:szCs w:val="24"/>
          <w:rtl/>
        </w:rPr>
        <w:t xml:space="preserve"> </w:t>
      </w:r>
      <w:r w:rsidRPr="00F44111">
        <w:rPr>
          <w:sz w:val="24"/>
          <w:szCs w:val="24"/>
        </w:rPr>
        <w:t>and mechanical sensors. Nature neuroscience. 2007;10(3):348-54</w:t>
      </w:r>
      <w:r w:rsidRPr="00F44111">
        <w:rPr>
          <w:sz w:val="24"/>
          <w:szCs w:val="24"/>
          <w:rtl/>
        </w:rPr>
        <w:t>.</w:t>
      </w:r>
    </w:p>
    <w:p w14:paraId="4B342469" w14:textId="77777777" w:rsidR="0042176D" w:rsidRPr="00F44111" w:rsidRDefault="0042176D" w:rsidP="0042176D">
      <w:pPr>
        <w:pStyle w:val="EndNoteBibliography"/>
        <w:spacing w:after="0"/>
        <w:rPr>
          <w:sz w:val="24"/>
          <w:szCs w:val="24"/>
          <w:rtl/>
        </w:rPr>
      </w:pPr>
      <w:r w:rsidRPr="00F44111">
        <w:rPr>
          <w:sz w:val="24"/>
          <w:szCs w:val="24"/>
          <w:rtl/>
        </w:rPr>
        <w:t>4.</w:t>
      </w:r>
      <w:r w:rsidRPr="00F44111">
        <w:rPr>
          <w:sz w:val="24"/>
          <w:szCs w:val="24"/>
          <w:rtl/>
        </w:rPr>
        <w:tab/>
      </w:r>
      <w:r w:rsidRPr="00F44111">
        <w:rPr>
          <w:sz w:val="24"/>
          <w:szCs w:val="24"/>
        </w:rPr>
        <w:t>Cinelli A, Ferreyra-Moyano H, Barragan E. Reciprocal functional connections of the olfactory bulbs and other olfactory related areas with the prefrontal cortex. Brain research bulletin. 1</w:t>
      </w:r>
      <w:r w:rsidRPr="00F44111">
        <w:rPr>
          <w:sz w:val="24"/>
          <w:szCs w:val="24"/>
          <w:rtl/>
        </w:rPr>
        <w:t>987;19(6):651-61.</w:t>
      </w:r>
    </w:p>
    <w:p w14:paraId="189EA113" w14:textId="77777777" w:rsidR="0042176D" w:rsidRPr="00F44111" w:rsidRDefault="0042176D" w:rsidP="0042176D">
      <w:pPr>
        <w:pStyle w:val="EndNoteBibliography"/>
        <w:spacing w:after="0"/>
        <w:rPr>
          <w:sz w:val="24"/>
          <w:szCs w:val="24"/>
          <w:rtl/>
        </w:rPr>
      </w:pPr>
      <w:r w:rsidRPr="00F44111">
        <w:rPr>
          <w:sz w:val="24"/>
          <w:szCs w:val="24"/>
          <w:rtl/>
        </w:rPr>
        <w:t>5.</w:t>
      </w:r>
      <w:r w:rsidRPr="00F44111">
        <w:rPr>
          <w:sz w:val="24"/>
          <w:szCs w:val="24"/>
          <w:rtl/>
        </w:rPr>
        <w:tab/>
      </w:r>
      <w:r w:rsidRPr="00F44111">
        <w:rPr>
          <w:sz w:val="24"/>
          <w:szCs w:val="24"/>
        </w:rPr>
        <w:t>Stenwall A, Uggla A-L, Weibust D, Fahlström M, Ryttlefors M, Latini F. The Bulb, the Brain and the Being: New Insights into Olfactory System Anatomy, Organization and Connectivity. Brain Sciences. 2025;15(4):368</w:t>
      </w:r>
      <w:r w:rsidRPr="00F44111">
        <w:rPr>
          <w:sz w:val="24"/>
          <w:szCs w:val="24"/>
          <w:rtl/>
        </w:rPr>
        <w:t>.</w:t>
      </w:r>
    </w:p>
    <w:p w14:paraId="22EBE2E1" w14:textId="77777777" w:rsidR="0042176D" w:rsidRPr="00F44111" w:rsidRDefault="0042176D" w:rsidP="0042176D">
      <w:pPr>
        <w:pStyle w:val="EndNoteBibliography"/>
        <w:spacing w:after="0"/>
        <w:rPr>
          <w:sz w:val="24"/>
          <w:szCs w:val="24"/>
          <w:rtl/>
        </w:rPr>
      </w:pPr>
      <w:r w:rsidRPr="00F44111">
        <w:rPr>
          <w:sz w:val="24"/>
          <w:szCs w:val="24"/>
          <w:rtl/>
        </w:rPr>
        <w:t>6.</w:t>
      </w:r>
      <w:r w:rsidRPr="00F44111">
        <w:rPr>
          <w:sz w:val="24"/>
          <w:szCs w:val="24"/>
          <w:rtl/>
        </w:rPr>
        <w:tab/>
      </w:r>
      <w:r w:rsidRPr="00F44111">
        <w:rPr>
          <w:sz w:val="24"/>
          <w:szCs w:val="24"/>
        </w:rPr>
        <w:t>Euston DR, Gruber</w:t>
      </w:r>
      <w:r w:rsidRPr="00F44111">
        <w:rPr>
          <w:sz w:val="24"/>
          <w:szCs w:val="24"/>
          <w:rtl/>
        </w:rPr>
        <w:t xml:space="preserve"> </w:t>
      </w:r>
      <w:r w:rsidRPr="00F44111">
        <w:rPr>
          <w:sz w:val="24"/>
          <w:szCs w:val="24"/>
        </w:rPr>
        <w:t>AJ, McNaughton BL. The role of medial prefrontal cortex in memory and decision making. Neuron. 2012;76(6):1057-70</w:t>
      </w:r>
      <w:r w:rsidRPr="00F44111">
        <w:rPr>
          <w:sz w:val="24"/>
          <w:szCs w:val="24"/>
          <w:rtl/>
        </w:rPr>
        <w:t>.</w:t>
      </w:r>
    </w:p>
    <w:p w14:paraId="037D1628" w14:textId="77777777" w:rsidR="0042176D" w:rsidRPr="00F44111" w:rsidRDefault="0042176D" w:rsidP="0042176D">
      <w:pPr>
        <w:pStyle w:val="EndNoteBibliography"/>
        <w:spacing w:after="0"/>
        <w:rPr>
          <w:sz w:val="24"/>
          <w:szCs w:val="24"/>
          <w:rtl/>
        </w:rPr>
      </w:pPr>
      <w:r w:rsidRPr="00F44111">
        <w:rPr>
          <w:sz w:val="24"/>
          <w:szCs w:val="24"/>
          <w:rtl/>
        </w:rPr>
        <w:t>7.</w:t>
      </w:r>
      <w:r w:rsidRPr="00F44111">
        <w:rPr>
          <w:sz w:val="24"/>
          <w:szCs w:val="24"/>
          <w:rtl/>
        </w:rPr>
        <w:tab/>
      </w:r>
      <w:r w:rsidRPr="00F44111">
        <w:rPr>
          <w:sz w:val="24"/>
          <w:szCs w:val="24"/>
        </w:rPr>
        <w:t>Price JL. Prefrontal cortical networks related to visceral function and mood. Annals of the new York Academy of Sciences. 1999;877(1):383</w:t>
      </w:r>
      <w:r w:rsidRPr="00F44111">
        <w:rPr>
          <w:sz w:val="24"/>
          <w:szCs w:val="24"/>
          <w:rtl/>
        </w:rPr>
        <w:t>-96.</w:t>
      </w:r>
    </w:p>
    <w:p w14:paraId="39029F87" w14:textId="77777777" w:rsidR="0042176D" w:rsidRPr="00F44111" w:rsidRDefault="0042176D" w:rsidP="0042176D">
      <w:pPr>
        <w:pStyle w:val="EndNoteBibliography"/>
        <w:spacing w:after="0"/>
        <w:rPr>
          <w:sz w:val="24"/>
          <w:szCs w:val="24"/>
          <w:rtl/>
        </w:rPr>
      </w:pPr>
      <w:r w:rsidRPr="00F44111">
        <w:rPr>
          <w:sz w:val="24"/>
          <w:szCs w:val="24"/>
          <w:rtl/>
        </w:rPr>
        <w:t>8.</w:t>
      </w:r>
      <w:r w:rsidRPr="00F44111">
        <w:rPr>
          <w:sz w:val="24"/>
          <w:szCs w:val="24"/>
          <w:rtl/>
        </w:rPr>
        <w:tab/>
      </w:r>
      <w:r w:rsidRPr="00F44111">
        <w:rPr>
          <w:sz w:val="24"/>
          <w:szCs w:val="24"/>
        </w:rPr>
        <w:t>Gilmartin MR, Balderston NL, Helmstetter FJ. Prefrontal cortical regulation of fear learning. Trends in neurosciences. 2014;37(8):455-64</w:t>
      </w:r>
      <w:r w:rsidRPr="00F44111">
        <w:rPr>
          <w:sz w:val="24"/>
          <w:szCs w:val="24"/>
          <w:rtl/>
        </w:rPr>
        <w:t>.</w:t>
      </w:r>
    </w:p>
    <w:p w14:paraId="24F2F7A8" w14:textId="77777777" w:rsidR="0042176D" w:rsidRPr="00F44111" w:rsidRDefault="0042176D" w:rsidP="0042176D">
      <w:pPr>
        <w:pStyle w:val="EndNoteBibliography"/>
        <w:spacing w:after="0"/>
        <w:rPr>
          <w:sz w:val="24"/>
          <w:szCs w:val="24"/>
          <w:rtl/>
        </w:rPr>
      </w:pPr>
      <w:r w:rsidRPr="00F44111">
        <w:rPr>
          <w:sz w:val="24"/>
          <w:szCs w:val="24"/>
          <w:rtl/>
        </w:rPr>
        <w:t>9.</w:t>
      </w:r>
      <w:r w:rsidRPr="00F44111">
        <w:rPr>
          <w:sz w:val="24"/>
          <w:szCs w:val="24"/>
          <w:rtl/>
        </w:rPr>
        <w:tab/>
      </w:r>
      <w:r w:rsidRPr="00F44111">
        <w:rPr>
          <w:sz w:val="24"/>
          <w:szCs w:val="24"/>
        </w:rPr>
        <w:t>Giustino TF, Maren S. The role of the medial prefrontal cortex in the conditioning and extinction of fear</w:t>
      </w:r>
      <w:r w:rsidRPr="00F44111">
        <w:rPr>
          <w:sz w:val="24"/>
          <w:szCs w:val="24"/>
          <w:rtl/>
        </w:rPr>
        <w:t xml:space="preserve">. </w:t>
      </w:r>
      <w:r w:rsidRPr="00F44111">
        <w:rPr>
          <w:sz w:val="24"/>
          <w:szCs w:val="24"/>
        </w:rPr>
        <w:t>Frontiers in behavioral neuroscience. 2015;9:298</w:t>
      </w:r>
      <w:r w:rsidRPr="00F44111">
        <w:rPr>
          <w:sz w:val="24"/>
          <w:szCs w:val="24"/>
          <w:rtl/>
        </w:rPr>
        <w:t>.</w:t>
      </w:r>
    </w:p>
    <w:p w14:paraId="48520192" w14:textId="77777777" w:rsidR="0042176D" w:rsidRPr="00F44111" w:rsidRDefault="0042176D" w:rsidP="0042176D">
      <w:pPr>
        <w:pStyle w:val="EndNoteBibliography"/>
        <w:spacing w:after="0"/>
        <w:rPr>
          <w:sz w:val="24"/>
          <w:szCs w:val="24"/>
          <w:rtl/>
        </w:rPr>
      </w:pPr>
      <w:r w:rsidRPr="00F44111">
        <w:rPr>
          <w:sz w:val="24"/>
          <w:szCs w:val="24"/>
          <w:rtl/>
        </w:rPr>
        <w:t>10.</w:t>
      </w:r>
      <w:r w:rsidRPr="00F44111">
        <w:rPr>
          <w:sz w:val="24"/>
          <w:szCs w:val="24"/>
          <w:rtl/>
        </w:rPr>
        <w:tab/>
      </w:r>
      <w:r w:rsidRPr="00F44111">
        <w:rPr>
          <w:sz w:val="24"/>
          <w:szCs w:val="24"/>
        </w:rPr>
        <w:t>Kenwood MM, Kalin NH, Barbas H. The prefrontal cortex, pathological anxiety, and anxiety disorders. Neuropsychopharmacology. 2022;47(1):260-75</w:t>
      </w:r>
      <w:r w:rsidRPr="00F44111">
        <w:rPr>
          <w:sz w:val="24"/>
          <w:szCs w:val="24"/>
          <w:rtl/>
        </w:rPr>
        <w:t>.</w:t>
      </w:r>
    </w:p>
    <w:p w14:paraId="3A82FD40" w14:textId="77777777" w:rsidR="0042176D" w:rsidRPr="00F44111" w:rsidRDefault="0042176D" w:rsidP="0042176D">
      <w:pPr>
        <w:pStyle w:val="EndNoteBibliography"/>
        <w:spacing w:after="0"/>
        <w:rPr>
          <w:sz w:val="24"/>
          <w:szCs w:val="24"/>
          <w:rtl/>
        </w:rPr>
      </w:pPr>
      <w:r w:rsidRPr="00F44111">
        <w:rPr>
          <w:sz w:val="24"/>
          <w:szCs w:val="24"/>
          <w:rtl/>
        </w:rPr>
        <w:t>11.</w:t>
      </w:r>
      <w:r w:rsidRPr="00F44111">
        <w:rPr>
          <w:sz w:val="24"/>
          <w:szCs w:val="24"/>
          <w:rtl/>
        </w:rPr>
        <w:tab/>
      </w:r>
      <w:r w:rsidRPr="00F44111">
        <w:rPr>
          <w:sz w:val="24"/>
          <w:szCs w:val="24"/>
        </w:rPr>
        <w:t>Gallego-Carracedo C, Perich MG, Chowdhury RH, Miller</w:t>
      </w:r>
      <w:r w:rsidRPr="00F44111">
        <w:rPr>
          <w:sz w:val="24"/>
          <w:szCs w:val="24"/>
          <w:rtl/>
        </w:rPr>
        <w:t xml:space="preserve"> </w:t>
      </w:r>
      <w:r w:rsidRPr="00F44111">
        <w:rPr>
          <w:sz w:val="24"/>
          <w:szCs w:val="24"/>
        </w:rPr>
        <w:t>LE, Gallego JÁ. Local field potentials reflect cortical population dynamics in a region-specific and frequency-dependent manner. Elife. 2022;11:e73155</w:t>
      </w:r>
      <w:r w:rsidRPr="00F44111">
        <w:rPr>
          <w:sz w:val="24"/>
          <w:szCs w:val="24"/>
          <w:rtl/>
        </w:rPr>
        <w:t>.</w:t>
      </w:r>
    </w:p>
    <w:p w14:paraId="3026B164" w14:textId="77777777" w:rsidR="0042176D" w:rsidRPr="00F44111" w:rsidRDefault="0042176D" w:rsidP="0042176D">
      <w:pPr>
        <w:pStyle w:val="EndNoteBibliography"/>
        <w:spacing w:after="0"/>
        <w:rPr>
          <w:sz w:val="24"/>
          <w:szCs w:val="24"/>
          <w:rtl/>
        </w:rPr>
      </w:pPr>
      <w:r w:rsidRPr="00F44111">
        <w:rPr>
          <w:sz w:val="24"/>
          <w:szCs w:val="24"/>
          <w:rtl/>
        </w:rPr>
        <w:t>12.</w:t>
      </w:r>
      <w:r w:rsidRPr="00F44111">
        <w:rPr>
          <w:sz w:val="24"/>
          <w:szCs w:val="24"/>
          <w:rtl/>
        </w:rPr>
        <w:tab/>
      </w:r>
      <w:r w:rsidRPr="00F44111">
        <w:rPr>
          <w:sz w:val="24"/>
          <w:szCs w:val="24"/>
        </w:rPr>
        <w:t>Buzsáki G, Watson BO. Brain rhythms and neural syntax: implications for efficient coding of cognitive content and neuropsychiatric disease. Dialogues in clinical neuroscience. 2012;14(4):345-67</w:t>
      </w:r>
      <w:r w:rsidRPr="00F44111">
        <w:rPr>
          <w:sz w:val="24"/>
          <w:szCs w:val="24"/>
          <w:rtl/>
        </w:rPr>
        <w:t>.</w:t>
      </w:r>
    </w:p>
    <w:p w14:paraId="2BF046EE" w14:textId="77777777" w:rsidR="0042176D" w:rsidRPr="00F44111" w:rsidRDefault="0042176D" w:rsidP="0042176D">
      <w:pPr>
        <w:pStyle w:val="EndNoteBibliography"/>
        <w:spacing w:after="0"/>
        <w:rPr>
          <w:sz w:val="24"/>
          <w:szCs w:val="24"/>
          <w:rtl/>
        </w:rPr>
      </w:pPr>
      <w:r w:rsidRPr="00F44111">
        <w:rPr>
          <w:sz w:val="24"/>
          <w:szCs w:val="24"/>
          <w:rtl/>
        </w:rPr>
        <w:t>13.</w:t>
      </w:r>
      <w:r w:rsidRPr="00F44111">
        <w:rPr>
          <w:sz w:val="24"/>
          <w:szCs w:val="24"/>
          <w:rtl/>
        </w:rPr>
        <w:tab/>
      </w:r>
      <w:r w:rsidRPr="00F44111">
        <w:rPr>
          <w:sz w:val="24"/>
          <w:szCs w:val="24"/>
        </w:rPr>
        <w:t>Mooziri M, Samii Moghaddam A, Mirshekar MA, Raoufy MR. Olfactory bulb-medial prefrontal cortex theta synchronization is associated with anxiety. Scientific Reports. 2024;14(1):12101</w:t>
      </w:r>
      <w:r w:rsidRPr="00F44111">
        <w:rPr>
          <w:sz w:val="24"/>
          <w:szCs w:val="24"/>
          <w:rtl/>
        </w:rPr>
        <w:t>.</w:t>
      </w:r>
    </w:p>
    <w:p w14:paraId="484A0ED3" w14:textId="77777777" w:rsidR="0042176D" w:rsidRPr="00F44111" w:rsidRDefault="0042176D" w:rsidP="0042176D">
      <w:pPr>
        <w:pStyle w:val="EndNoteBibliography"/>
        <w:spacing w:after="0"/>
        <w:rPr>
          <w:sz w:val="24"/>
          <w:szCs w:val="24"/>
          <w:rtl/>
        </w:rPr>
      </w:pPr>
      <w:r w:rsidRPr="00F44111">
        <w:rPr>
          <w:sz w:val="24"/>
          <w:szCs w:val="24"/>
          <w:rtl/>
        </w:rPr>
        <w:t>14.</w:t>
      </w:r>
      <w:r w:rsidRPr="00F44111">
        <w:rPr>
          <w:sz w:val="24"/>
          <w:szCs w:val="24"/>
          <w:rtl/>
        </w:rPr>
        <w:tab/>
      </w:r>
      <w:r w:rsidRPr="00F44111">
        <w:rPr>
          <w:sz w:val="24"/>
          <w:szCs w:val="24"/>
        </w:rPr>
        <w:t>Zelano C, Jiang H, Zhou G, Arora N, Schuele S, Rosenow J, et al. Nasal respiration entrains human limbic oscillations and modulates cognitive function. Journal of Neuroscience. 2016;36(49):12448-67</w:t>
      </w:r>
      <w:r w:rsidRPr="00F44111">
        <w:rPr>
          <w:sz w:val="24"/>
          <w:szCs w:val="24"/>
          <w:rtl/>
        </w:rPr>
        <w:t>.</w:t>
      </w:r>
    </w:p>
    <w:p w14:paraId="5DE1DDA3" w14:textId="77777777" w:rsidR="0042176D" w:rsidRPr="00F44111" w:rsidRDefault="0042176D" w:rsidP="0042176D">
      <w:pPr>
        <w:pStyle w:val="EndNoteBibliography"/>
        <w:spacing w:after="0"/>
        <w:rPr>
          <w:sz w:val="24"/>
          <w:szCs w:val="24"/>
          <w:rtl/>
        </w:rPr>
      </w:pPr>
      <w:r w:rsidRPr="00F44111">
        <w:rPr>
          <w:sz w:val="24"/>
          <w:szCs w:val="24"/>
          <w:rtl/>
        </w:rPr>
        <w:t>15.</w:t>
      </w:r>
      <w:r w:rsidRPr="00F44111">
        <w:rPr>
          <w:sz w:val="24"/>
          <w:szCs w:val="24"/>
          <w:rtl/>
        </w:rPr>
        <w:tab/>
      </w:r>
      <w:r w:rsidRPr="00F44111">
        <w:rPr>
          <w:sz w:val="24"/>
          <w:szCs w:val="24"/>
        </w:rPr>
        <w:t>Bacigalupo F, Luck</w:t>
      </w:r>
      <w:r w:rsidRPr="00F44111">
        <w:rPr>
          <w:sz w:val="24"/>
          <w:szCs w:val="24"/>
          <w:rtl/>
        </w:rPr>
        <w:t xml:space="preserve"> </w:t>
      </w:r>
      <w:r w:rsidRPr="00F44111">
        <w:rPr>
          <w:sz w:val="24"/>
          <w:szCs w:val="24"/>
        </w:rPr>
        <w:t>SJ. Alpha-band EEG suppression as a neural marker of sustained attentional engagement to conditioned threat stimuli. Social cognitive and affective neuroscience. 2022;17(12):1101-17</w:t>
      </w:r>
      <w:r w:rsidRPr="00F44111">
        <w:rPr>
          <w:sz w:val="24"/>
          <w:szCs w:val="24"/>
          <w:rtl/>
        </w:rPr>
        <w:t>.</w:t>
      </w:r>
    </w:p>
    <w:p w14:paraId="6F17FDC1" w14:textId="2AB71146" w:rsidR="0042176D" w:rsidRDefault="0042176D" w:rsidP="00E23195">
      <w:pPr>
        <w:pStyle w:val="EndNoteBibliography"/>
        <w:rPr>
          <w:sz w:val="24"/>
          <w:szCs w:val="24"/>
          <w:lang w:bidi="fa-IR"/>
        </w:rPr>
      </w:pPr>
      <w:r w:rsidRPr="00F44111">
        <w:rPr>
          <w:sz w:val="24"/>
          <w:szCs w:val="24"/>
          <w:rtl/>
        </w:rPr>
        <w:t>16.</w:t>
      </w:r>
      <w:r w:rsidRPr="00F44111">
        <w:rPr>
          <w:sz w:val="24"/>
          <w:szCs w:val="24"/>
          <w:rtl/>
        </w:rPr>
        <w:tab/>
      </w:r>
      <w:r w:rsidRPr="00F44111">
        <w:rPr>
          <w:sz w:val="24"/>
          <w:szCs w:val="24"/>
        </w:rPr>
        <w:t>Putman P. Resting state EEG delta–beta coherence in relation to anxiety, behavioral inhibition, and selective attentional processing of threatening stimuli. International journal of psychophysiology. 2011;80(1):63-8</w:t>
      </w:r>
      <w:r w:rsidRPr="00F44111">
        <w:rPr>
          <w:sz w:val="24"/>
          <w:szCs w:val="24"/>
          <w:rtl/>
        </w:rPr>
        <w:t>.</w:t>
      </w:r>
    </w:p>
    <w:p w14:paraId="43E3D247" w14:textId="7E05F5C5" w:rsidR="00F44111" w:rsidRPr="00F44111" w:rsidRDefault="00E55B95" w:rsidP="000D2F66">
      <w:pPr>
        <w:rPr>
          <w:rFonts w:asciiTheme="minorBidi" w:hAnsiTheme="minorBidi"/>
          <w:sz w:val="24"/>
          <w:szCs w:val="24"/>
          <w:lang w:bidi="fa-IR"/>
        </w:rPr>
      </w:pPr>
      <w:r w:rsidRPr="00F44111">
        <w:rPr>
          <w:rFonts w:cs="B Nazanin"/>
          <w:sz w:val="24"/>
          <w:szCs w:val="24"/>
          <w:rtl/>
          <w:lang w:bidi="fa-IR"/>
        </w:rPr>
        <w:lastRenderedPageBreak/>
        <w:fldChar w:fldCharType="end"/>
      </w:r>
    </w:p>
    <w:sectPr w:rsidR="00F44111" w:rsidRPr="00F44111" w:rsidSect="00E2319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7A8B6" w14:textId="77777777" w:rsidR="00145646" w:rsidRDefault="00145646" w:rsidP="001B7240">
      <w:pPr>
        <w:spacing w:after="0" w:line="240" w:lineRule="auto"/>
      </w:pPr>
      <w:r>
        <w:separator/>
      </w:r>
    </w:p>
  </w:endnote>
  <w:endnote w:type="continuationSeparator" w:id="0">
    <w:p w14:paraId="6CF6BD2C" w14:textId="77777777" w:rsidR="00145646" w:rsidRDefault="00145646" w:rsidP="001B7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B9C55" w14:textId="77777777" w:rsidR="00145646" w:rsidRDefault="00145646" w:rsidP="001B7240">
      <w:pPr>
        <w:spacing w:after="0" w:line="240" w:lineRule="auto"/>
      </w:pPr>
      <w:r>
        <w:separator/>
      </w:r>
    </w:p>
  </w:footnote>
  <w:footnote w:type="continuationSeparator" w:id="0">
    <w:p w14:paraId="12BF47A5" w14:textId="77777777" w:rsidR="00145646" w:rsidRDefault="00145646" w:rsidP="001B72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87533" w14:textId="77777777" w:rsidR="00E23195" w:rsidRPr="00E23195" w:rsidRDefault="00E23195" w:rsidP="00E23195">
    <w:pPr>
      <w:pStyle w:val="Header"/>
      <w:rPr>
        <w:rFonts w:asciiTheme="minorBidi" w:hAnsiTheme="minorBidi"/>
        <w:sz w:val="24"/>
        <w:szCs w:val="24"/>
      </w:rPr>
    </w:pPr>
    <w:r w:rsidRPr="00E23195">
      <w:rPr>
        <w:rFonts w:asciiTheme="minorBidi" w:hAnsiTheme="minorBidi"/>
        <w:sz w:val="24"/>
        <w:szCs w:val="24"/>
      </w:rPr>
      <w:t>Low-Frequency OB-PFC Communication in Anxiety</w:t>
    </w:r>
  </w:p>
  <w:p w14:paraId="134F9DE1" w14:textId="77777777" w:rsidR="00E23195" w:rsidRDefault="00E23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54E04"/>
    <w:multiLevelType w:val="multilevel"/>
    <w:tmpl w:val="453C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E812C7"/>
    <w:multiLevelType w:val="multilevel"/>
    <w:tmpl w:val="1494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45F5C"/>
    <w:multiLevelType w:val="multilevel"/>
    <w:tmpl w:val="0ACC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9052CC"/>
    <w:multiLevelType w:val="multilevel"/>
    <w:tmpl w:val="42D6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130C58"/>
    <w:multiLevelType w:val="multilevel"/>
    <w:tmpl w:val="957AD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F11DC4"/>
    <w:multiLevelType w:val="multilevel"/>
    <w:tmpl w:val="4D5A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D95BE2"/>
    <w:multiLevelType w:val="multilevel"/>
    <w:tmpl w:val="64E6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672DBD"/>
    <w:multiLevelType w:val="multilevel"/>
    <w:tmpl w:val="DC90F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5159615">
    <w:abstractNumId w:val="3"/>
  </w:num>
  <w:num w:numId="2" w16cid:durableId="599217253">
    <w:abstractNumId w:val="1"/>
  </w:num>
  <w:num w:numId="3" w16cid:durableId="551035831">
    <w:abstractNumId w:val="4"/>
  </w:num>
  <w:num w:numId="4" w16cid:durableId="44527140">
    <w:abstractNumId w:val="0"/>
  </w:num>
  <w:num w:numId="5" w16cid:durableId="527304194">
    <w:abstractNumId w:val="7"/>
  </w:num>
  <w:num w:numId="6" w16cid:durableId="1979921667">
    <w:abstractNumId w:val="6"/>
  </w:num>
  <w:num w:numId="7" w16cid:durableId="1737048877">
    <w:abstractNumId w:val="5"/>
  </w:num>
  <w:num w:numId="8" w16cid:durableId="790783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xf00fz2wwffqefr5spdvwap2a2fdsadt52&quot;&gt;Beta_Power&lt;record-ids&gt;&lt;item&gt;2&lt;/item&gt;&lt;item&gt;3&lt;/item&gt;&lt;item&gt;4&lt;/item&gt;&lt;item&gt;5&lt;/item&gt;&lt;item&gt;6&lt;/item&gt;&lt;item&gt;7&lt;/item&gt;&lt;item&gt;9&lt;/item&gt;&lt;item&gt;10&lt;/item&gt;&lt;item&gt;11&lt;/item&gt;&lt;item&gt;12&lt;/item&gt;&lt;item&gt;13&lt;/item&gt;&lt;item&gt;19&lt;/item&gt;&lt;item&gt;23&lt;/item&gt;&lt;item&gt;24&lt;/item&gt;&lt;item&gt;25&lt;/item&gt;&lt;/record-ids&gt;&lt;/item&gt;&lt;/Libraries&gt;"/>
  </w:docVars>
  <w:rsids>
    <w:rsidRoot w:val="008674D7"/>
    <w:rsid w:val="0001728E"/>
    <w:rsid w:val="0003297E"/>
    <w:rsid w:val="0004630E"/>
    <w:rsid w:val="00052B51"/>
    <w:rsid w:val="0005752C"/>
    <w:rsid w:val="00097273"/>
    <w:rsid w:val="000A48EF"/>
    <w:rsid w:val="000D2F66"/>
    <w:rsid w:val="001045A4"/>
    <w:rsid w:val="00105367"/>
    <w:rsid w:val="00120331"/>
    <w:rsid w:val="00123E25"/>
    <w:rsid w:val="00130121"/>
    <w:rsid w:val="00145646"/>
    <w:rsid w:val="00146C07"/>
    <w:rsid w:val="001B7240"/>
    <w:rsid w:val="001C167D"/>
    <w:rsid w:val="001C5778"/>
    <w:rsid w:val="002042ED"/>
    <w:rsid w:val="002332F1"/>
    <w:rsid w:val="002506DA"/>
    <w:rsid w:val="002614C7"/>
    <w:rsid w:val="00262A9A"/>
    <w:rsid w:val="002769C6"/>
    <w:rsid w:val="00290582"/>
    <w:rsid w:val="002A60ED"/>
    <w:rsid w:val="002D38A2"/>
    <w:rsid w:val="002D70AA"/>
    <w:rsid w:val="003105AF"/>
    <w:rsid w:val="00317C88"/>
    <w:rsid w:val="00321743"/>
    <w:rsid w:val="003303F0"/>
    <w:rsid w:val="0033430F"/>
    <w:rsid w:val="00354840"/>
    <w:rsid w:val="00357C23"/>
    <w:rsid w:val="00373F81"/>
    <w:rsid w:val="003774FA"/>
    <w:rsid w:val="0038197C"/>
    <w:rsid w:val="0039001A"/>
    <w:rsid w:val="00393C19"/>
    <w:rsid w:val="00405CDC"/>
    <w:rsid w:val="00413EFF"/>
    <w:rsid w:val="004144F2"/>
    <w:rsid w:val="004161E8"/>
    <w:rsid w:val="0042176D"/>
    <w:rsid w:val="0042365A"/>
    <w:rsid w:val="004244BC"/>
    <w:rsid w:val="00476199"/>
    <w:rsid w:val="00483F8D"/>
    <w:rsid w:val="004957B2"/>
    <w:rsid w:val="00496E18"/>
    <w:rsid w:val="004B1341"/>
    <w:rsid w:val="004B2331"/>
    <w:rsid w:val="004D5FF1"/>
    <w:rsid w:val="004E3963"/>
    <w:rsid w:val="004E5199"/>
    <w:rsid w:val="005147EA"/>
    <w:rsid w:val="0052096C"/>
    <w:rsid w:val="00542516"/>
    <w:rsid w:val="0058552B"/>
    <w:rsid w:val="005933AB"/>
    <w:rsid w:val="005A6772"/>
    <w:rsid w:val="005B2E2F"/>
    <w:rsid w:val="005C407E"/>
    <w:rsid w:val="005F1182"/>
    <w:rsid w:val="00602CDE"/>
    <w:rsid w:val="006277DE"/>
    <w:rsid w:val="00677050"/>
    <w:rsid w:val="006A1717"/>
    <w:rsid w:val="006C2733"/>
    <w:rsid w:val="006E4140"/>
    <w:rsid w:val="006F1A5A"/>
    <w:rsid w:val="00707AA1"/>
    <w:rsid w:val="00717D78"/>
    <w:rsid w:val="007235D9"/>
    <w:rsid w:val="00724157"/>
    <w:rsid w:val="00753677"/>
    <w:rsid w:val="0075787A"/>
    <w:rsid w:val="00757D8D"/>
    <w:rsid w:val="007965D0"/>
    <w:rsid w:val="007B59EC"/>
    <w:rsid w:val="007C2BE0"/>
    <w:rsid w:val="007D42A4"/>
    <w:rsid w:val="007D5C72"/>
    <w:rsid w:val="008227BF"/>
    <w:rsid w:val="00851D4B"/>
    <w:rsid w:val="00857327"/>
    <w:rsid w:val="00861BA2"/>
    <w:rsid w:val="008674D7"/>
    <w:rsid w:val="00871990"/>
    <w:rsid w:val="00877256"/>
    <w:rsid w:val="008A0F3B"/>
    <w:rsid w:val="008C0EA7"/>
    <w:rsid w:val="008C55B3"/>
    <w:rsid w:val="008D0BC1"/>
    <w:rsid w:val="008F17D2"/>
    <w:rsid w:val="008F7A3A"/>
    <w:rsid w:val="008F7B55"/>
    <w:rsid w:val="0096187C"/>
    <w:rsid w:val="00974551"/>
    <w:rsid w:val="009973D6"/>
    <w:rsid w:val="009A4AB8"/>
    <w:rsid w:val="009A60D6"/>
    <w:rsid w:val="009B092C"/>
    <w:rsid w:val="00A169CC"/>
    <w:rsid w:val="00A74981"/>
    <w:rsid w:val="00A767AC"/>
    <w:rsid w:val="00A77158"/>
    <w:rsid w:val="00A843B0"/>
    <w:rsid w:val="00AA0D3E"/>
    <w:rsid w:val="00AA4805"/>
    <w:rsid w:val="00AB576C"/>
    <w:rsid w:val="00AE1A46"/>
    <w:rsid w:val="00AE1D26"/>
    <w:rsid w:val="00B1437B"/>
    <w:rsid w:val="00B2635F"/>
    <w:rsid w:val="00B520A1"/>
    <w:rsid w:val="00B71EDC"/>
    <w:rsid w:val="00B71F9E"/>
    <w:rsid w:val="00B7508F"/>
    <w:rsid w:val="00B91F49"/>
    <w:rsid w:val="00BB7CB5"/>
    <w:rsid w:val="00BD1C1E"/>
    <w:rsid w:val="00C1293C"/>
    <w:rsid w:val="00C1610C"/>
    <w:rsid w:val="00C23A3A"/>
    <w:rsid w:val="00C3607E"/>
    <w:rsid w:val="00C4265C"/>
    <w:rsid w:val="00CA6DCE"/>
    <w:rsid w:val="00CC7E46"/>
    <w:rsid w:val="00CD53EB"/>
    <w:rsid w:val="00CE6379"/>
    <w:rsid w:val="00CF0581"/>
    <w:rsid w:val="00CF371C"/>
    <w:rsid w:val="00D03AB4"/>
    <w:rsid w:val="00D062DA"/>
    <w:rsid w:val="00D17BAC"/>
    <w:rsid w:val="00D22352"/>
    <w:rsid w:val="00D66272"/>
    <w:rsid w:val="00D779B1"/>
    <w:rsid w:val="00D873BA"/>
    <w:rsid w:val="00DA7A85"/>
    <w:rsid w:val="00DC3B64"/>
    <w:rsid w:val="00DD67A5"/>
    <w:rsid w:val="00DF05AC"/>
    <w:rsid w:val="00DF4DE8"/>
    <w:rsid w:val="00E14B32"/>
    <w:rsid w:val="00E158A5"/>
    <w:rsid w:val="00E2010F"/>
    <w:rsid w:val="00E23195"/>
    <w:rsid w:val="00E30478"/>
    <w:rsid w:val="00E42F1C"/>
    <w:rsid w:val="00E47177"/>
    <w:rsid w:val="00E53CCF"/>
    <w:rsid w:val="00E55B95"/>
    <w:rsid w:val="00E56341"/>
    <w:rsid w:val="00E650CA"/>
    <w:rsid w:val="00E9149C"/>
    <w:rsid w:val="00EC66D4"/>
    <w:rsid w:val="00EC678D"/>
    <w:rsid w:val="00ED01F8"/>
    <w:rsid w:val="00EE37FE"/>
    <w:rsid w:val="00EF44FE"/>
    <w:rsid w:val="00EF57F5"/>
    <w:rsid w:val="00F00975"/>
    <w:rsid w:val="00F22D00"/>
    <w:rsid w:val="00F25DAB"/>
    <w:rsid w:val="00F44111"/>
    <w:rsid w:val="00F47184"/>
    <w:rsid w:val="00F71933"/>
    <w:rsid w:val="00F72436"/>
    <w:rsid w:val="00F83013"/>
    <w:rsid w:val="00F86E86"/>
    <w:rsid w:val="00F916F1"/>
    <w:rsid w:val="00F969B8"/>
    <w:rsid w:val="00FA25AC"/>
    <w:rsid w:val="00FA7034"/>
    <w:rsid w:val="00FC6590"/>
    <w:rsid w:val="00FC7DB8"/>
    <w:rsid w:val="00FE1A50"/>
    <w:rsid w:val="00FE40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B75C0"/>
  <w15:chartTrackingRefBased/>
  <w15:docId w15:val="{311A1232-D1C8-4153-81D3-F0DF1386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4D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674D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674D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674D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674D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674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74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74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74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4D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674D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674D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674D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674D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674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74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74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74D7"/>
    <w:rPr>
      <w:rFonts w:eastAsiaTheme="majorEastAsia" w:cstheme="majorBidi"/>
      <w:color w:val="272727" w:themeColor="text1" w:themeTint="D8"/>
    </w:rPr>
  </w:style>
  <w:style w:type="paragraph" w:styleId="Title">
    <w:name w:val="Title"/>
    <w:basedOn w:val="Normal"/>
    <w:next w:val="Normal"/>
    <w:link w:val="TitleChar"/>
    <w:uiPriority w:val="10"/>
    <w:qFormat/>
    <w:rsid w:val="008674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74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74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74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74D7"/>
    <w:pPr>
      <w:spacing w:before="160"/>
      <w:jc w:val="center"/>
    </w:pPr>
    <w:rPr>
      <w:i/>
      <w:iCs/>
      <w:color w:val="404040" w:themeColor="text1" w:themeTint="BF"/>
    </w:rPr>
  </w:style>
  <w:style w:type="character" w:customStyle="1" w:styleId="QuoteChar">
    <w:name w:val="Quote Char"/>
    <w:basedOn w:val="DefaultParagraphFont"/>
    <w:link w:val="Quote"/>
    <w:uiPriority w:val="29"/>
    <w:rsid w:val="008674D7"/>
    <w:rPr>
      <w:i/>
      <w:iCs/>
      <w:color w:val="404040" w:themeColor="text1" w:themeTint="BF"/>
    </w:rPr>
  </w:style>
  <w:style w:type="paragraph" w:styleId="ListParagraph">
    <w:name w:val="List Paragraph"/>
    <w:basedOn w:val="Normal"/>
    <w:uiPriority w:val="34"/>
    <w:qFormat/>
    <w:rsid w:val="008674D7"/>
    <w:pPr>
      <w:ind w:left="720"/>
      <w:contextualSpacing/>
    </w:pPr>
  </w:style>
  <w:style w:type="character" w:styleId="IntenseEmphasis">
    <w:name w:val="Intense Emphasis"/>
    <w:basedOn w:val="DefaultParagraphFont"/>
    <w:uiPriority w:val="21"/>
    <w:qFormat/>
    <w:rsid w:val="008674D7"/>
    <w:rPr>
      <w:i/>
      <w:iCs/>
      <w:color w:val="2E74B5" w:themeColor="accent1" w:themeShade="BF"/>
    </w:rPr>
  </w:style>
  <w:style w:type="paragraph" w:styleId="IntenseQuote">
    <w:name w:val="Intense Quote"/>
    <w:basedOn w:val="Normal"/>
    <w:next w:val="Normal"/>
    <w:link w:val="IntenseQuoteChar"/>
    <w:uiPriority w:val="30"/>
    <w:qFormat/>
    <w:rsid w:val="008674D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674D7"/>
    <w:rPr>
      <w:i/>
      <w:iCs/>
      <w:color w:val="2E74B5" w:themeColor="accent1" w:themeShade="BF"/>
    </w:rPr>
  </w:style>
  <w:style w:type="character" w:styleId="IntenseReference">
    <w:name w:val="Intense Reference"/>
    <w:basedOn w:val="DefaultParagraphFont"/>
    <w:uiPriority w:val="32"/>
    <w:qFormat/>
    <w:rsid w:val="008674D7"/>
    <w:rPr>
      <w:b/>
      <w:bCs/>
      <w:smallCaps/>
      <w:color w:val="2E74B5" w:themeColor="accent1" w:themeShade="BF"/>
      <w:spacing w:val="5"/>
    </w:rPr>
  </w:style>
  <w:style w:type="paragraph" w:customStyle="1" w:styleId="EndNoteBibliographyTitle">
    <w:name w:val="EndNote Bibliography Title"/>
    <w:basedOn w:val="Normal"/>
    <w:link w:val="EndNoteBibliographyTitleChar"/>
    <w:rsid w:val="00E55B95"/>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E55B95"/>
    <w:rPr>
      <w:rFonts w:ascii="Aptos" w:hAnsi="Aptos"/>
      <w:noProof/>
    </w:rPr>
  </w:style>
  <w:style w:type="paragraph" w:customStyle="1" w:styleId="EndNoteBibliography">
    <w:name w:val="EndNote Bibliography"/>
    <w:basedOn w:val="Normal"/>
    <w:link w:val="EndNoteBibliographyChar"/>
    <w:rsid w:val="00E55B95"/>
    <w:pPr>
      <w:spacing w:line="240" w:lineRule="auto"/>
      <w:jc w:val="center"/>
    </w:pPr>
    <w:rPr>
      <w:rFonts w:ascii="Aptos" w:hAnsi="Aptos"/>
      <w:noProof/>
    </w:rPr>
  </w:style>
  <w:style w:type="character" w:customStyle="1" w:styleId="EndNoteBibliographyChar">
    <w:name w:val="EndNote Bibliography Char"/>
    <w:basedOn w:val="DefaultParagraphFont"/>
    <w:link w:val="EndNoteBibliography"/>
    <w:rsid w:val="00E55B95"/>
    <w:rPr>
      <w:rFonts w:ascii="Aptos" w:hAnsi="Aptos"/>
      <w:noProof/>
    </w:rPr>
  </w:style>
  <w:style w:type="paragraph" w:styleId="FootnoteText">
    <w:name w:val="footnote text"/>
    <w:basedOn w:val="Normal"/>
    <w:link w:val="FootnoteTextChar"/>
    <w:uiPriority w:val="99"/>
    <w:semiHidden/>
    <w:unhideWhenUsed/>
    <w:rsid w:val="001B72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7240"/>
    <w:rPr>
      <w:sz w:val="20"/>
      <w:szCs w:val="20"/>
    </w:rPr>
  </w:style>
  <w:style w:type="character" w:styleId="FootnoteReference">
    <w:name w:val="footnote reference"/>
    <w:basedOn w:val="DefaultParagraphFont"/>
    <w:uiPriority w:val="99"/>
    <w:semiHidden/>
    <w:unhideWhenUsed/>
    <w:rsid w:val="001B7240"/>
    <w:rPr>
      <w:vertAlign w:val="superscript"/>
    </w:rPr>
  </w:style>
  <w:style w:type="character" w:styleId="PlaceholderText">
    <w:name w:val="Placeholder Text"/>
    <w:basedOn w:val="DefaultParagraphFont"/>
    <w:uiPriority w:val="99"/>
    <w:semiHidden/>
    <w:rsid w:val="006C2733"/>
    <w:rPr>
      <w:color w:val="666666"/>
    </w:rPr>
  </w:style>
  <w:style w:type="character" w:styleId="Hyperlink">
    <w:name w:val="Hyperlink"/>
    <w:basedOn w:val="DefaultParagraphFont"/>
    <w:uiPriority w:val="99"/>
    <w:unhideWhenUsed/>
    <w:rsid w:val="00F44111"/>
    <w:rPr>
      <w:color w:val="0563C1" w:themeColor="hyperlink"/>
      <w:u w:val="single"/>
    </w:rPr>
  </w:style>
  <w:style w:type="paragraph" w:styleId="Header">
    <w:name w:val="header"/>
    <w:basedOn w:val="Normal"/>
    <w:link w:val="HeaderChar"/>
    <w:uiPriority w:val="99"/>
    <w:unhideWhenUsed/>
    <w:rsid w:val="00E23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195"/>
  </w:style>
  <w:style w:type="paragraph" w:styleId="Footer">
    <w:name w:val="footer"/>
    <w:basedOn w:val="Normal"/>
    <w:link w:val="FooterChar"/>
    <w:uiPriority w:val="99"/>
    <w:unhideWhenUsed/>
    <w:rsid w:val="00E23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3064">
      <w:bodyDiv w:val="1"/>
      <w:marLeft w:val="0"/>
      <w:marRight w:val="0"/>
      <w:marTop w:val="0"/>
      <w:marBottom w:val="0"/>
      <w:divBdr>
        <w:top w:val="none" w:sz="0" w:space="0" w:color="auto"/>
        <w:left w:val="none" w:sz="0" w:space="0" w:color="auto"/>
        <w:bottom w:val="none" w:sz="0" w:space="0" w:color="auto"/>
        <w:right w:val="none" w:sz="0" w:space="0" w:color="auto"/>
      </w:divBdr>
    </w:div>
    <w:div w:id="65690827">
      <w:bodyDiv w:val="1"/>
      <w:marLeft w:val="0"/>
      <w:marRight w:val="0"/>
      <w:marTop w:val="0"/>
      <w:marBottom w:val="0"/>
      <w:divBdr>
        <w:top w:val="none" w:sz="0" w:space="0" w:color="auto"/>
        <w:left w:val="none" w:sz="0" w:space="0" w:color="auto"/>
        <w:bottom w:val="none" w:sz="0" w:space="0" w:color="auto"/>
        <w:right w:val="none" w:sz="0" w:space="0" w:color="auto"/>
      </w:divBdr>
    </w:div>
    <w:div w:id="85228685">
      <w:bodyDiv w:val="1"/>
      <w:marLeft w:val="0"/>
      <w:marRight w:val="0"/>
      <w:marTop w:val="0"/>
      <w:marBottom w:val="0"/>
      <w:divBdr>
        <w:top w:val="none" w:sz="0" w:space="0" w:color="auto"/>
        <w:left w:val="none" w:sz="0" w:space="0" w:color="auto"/>
        <w:bottom w:val="none" w:sz="0" w:space="0" w:color="auto"/>
        <w:right w:val="none" w:sz="0" w:space="0" w:color="auto"/>
      </w:divBdr>
    </w:div>
    <w:div w:id="103577829">
      <w:bodyDiv w:val="1"/>
      <w:marLeft w:val="0"/>
      <w:marRight w:val="0"/>
      <w:marTop w:val="0"/>
      <w:marBottom w:val="0"/>
      <w:divBdr>
        <w:top w:val="none" w:sz="0" w:space="0" w:color="auto"/>
        <w:left w:val="none" w:sz="0" w:space="0" w:color="auto"/>
        <w:bottom w:val="none" w:sz="0" w:space="0" w:color="auto"/>
        <w:right w:val="none" w:sz="0" w:space="0" w:color="auto"/>
      </w:divBdr>
    </w:div>
    <w:div w:id="145517357">
      <w:bodyDiv w:val="1"/>
      <w:marLeft w:val="0"/>
      <w:marRight w:val="0"/>
      <w:marTop w:val="0"/>
      <w:marBottom w:val="0"/>
      <w:divBdr>
        <w:top w:val="none" w:sz="0" w:space="0" w:color="auto"/>
        <w:left w:val="none" w:sz="0" w:space="0" w:color="auto"/>
        <w:bottom w:val="none" w:sz="0" w:space="0" w:color="auto"/>
        <w:right w:val="none" w:sz="0" w:space="0" w:color="auto"/>
      </w:divBdr>
      <w:divsChild>
        <w:div w:id="1119644225">
          <w:marLeft w:val="0"/>
          <w:marRight w:val="0"/>
          <w:marTop w:val="100"/>
          <w:marBottom w:val="100"/>
          <w:divBdr>
            <w:top w:val="none" w:sz="0" w:space="0" w:color="auto"/>
            <w:left w:val="none" w:sz="0" w:space="0" w:color="auto"/>
            <w:bottom w:val="none" w:sz="0" w:space="0" w:color="auto"/>
            <w:right w:val="none" w:sz="0" w:space="0" w:color="auto"/>
          </w:divBdr>
          <w:divsChild>
            <w:div w:id="300423445">
              <w:marLeft w:val="0"/>
              <w:marRight w:val="0"/>
              <w:marTop w:val="0"/>
              <w:marBottom w:val="0"/>
              <w:divBdr>
                <w:top w:val="none" w:sz="0" w:space="0" w:color="auto"/>
                <w:left w:val="none" w:sz="0" w:space="0" w:color="auto"/>
                <w:bottom w:val="none" w:sz="0" w:space="0" w:color="auto"/>
                <w:right w:val="none" w:sz="0" w:space="0" w:color="auto"/>
              </w:divBdr>
              <w:divsChild>
                <w:div w:id="1379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3460">
      <w:bodyDiv w:val="1"/>
      <w:marLeft w:val="0"/>
      <w:marRight w:val="0"/>
      <w:marTop w:val="0"/>
      <w:marBottom w:val="0"/>
      <w:divBdr>
        <w:top w:val="none" w:sz="0" w:space="0" w:color="auto"/>
        <w:left w:val="none" w:sz="0" w:space="0" w:color="auto"/>
        <w:bottom w:val="none" w:sz="0" w:space="0" w:color="auto"/>
        <w:right w:val="none" w:sz="0" w:space="0" w:color="auto"/>
      </w:divBdr>
    </w:div>
    <w:div w:id="191263288">
      <w:bodyDiv w:val="1"/>
      <w:marLeft w:val="0"/>
      <w:marRight w:val="0"/>
      <w:marTop w:val="0"/>
      <w:marBottom w:val="0"/>
      <w:divBdr>
        <w:top w:val="none" w:sz="0" w:space="0" w:color="auto"/>
        <w:left w:val="none" w:sz="0" w:space="0" w:color="auto"/>
        <w:bottom w:val="none" w:sz="0" w:space="0" w:color="auto"/>
        <w:right w:val="none" w:sz="0" w:space="0" w:color="auto"/>
      </w:divBdr>
    </w:div>
    <w:div w:id="319771169">
      <w:bodyDiv w:val="1"/>
      <w:marLeft w:val="0"/>
      <w:marRight w:val="0"/>
      <w:marTop w:val="0"/>
      <w:marBottom w:val="0"/>
      <w:divBdr>
        <w:top w:val="none" w:sz="0" w:space="0" w:color="auto"/>
        <w:left w:val="none" w:sz="0" w:space="0" w:color="auto"/>
        <w:bottom w:val="none" w:sz="0" w:space="0" w:color="auto"/>
        <w:right w:val="none" w:sz="0" w:space="0" w:color="auto"/>
      </w:divBdr>
    </w:div>
    <w:div w:id="399603024">
      <w:bodyDiv w:val="1"/>
      <w:marLeft w:val="0"/>
      <w:marRight w:val="0"/>
      <w:marTop w:val="0"/>
      <w:marBottom w:val="0"/>
      <w:divBdr>
        <w:top w:val="none" w:sz="0" w:space="0" w:color="auto"/>
        <w:left w:val="none" w:sz="0" w:space="0" w:color="auto"/>
        <w:bottom w:val="none" w:sz="0" w:space="0" w:color="auto"/>
        <w:right w:val="none" w:sz="0" w:space="0" w:color="auto"/>
      </w:divBdr>
    </w:div>
    <w:div w:id="403111957">
      <w:bodyDiv w:val="1"/>
      <w:marLeft w:val="0"/>
      <w:marRight w:val="0"/>
      <w:marTop w:val="0"/>
      <w:marBottom w:val="0"/>
      <w:divBdr>
        <w:top w:val="none" w:sz="0" w:space="0" w:color="auto"/>
        <w:left w:val="none" w:sz="0" w:space="0" w:color="auto"/>
        <w:bottom w:val="none" w:sz="0" w:space="0" w:color="auto"/>
        <w:right w:val="none" w:sz="0" w:space="0" w:color="auto"/>
      </w:divBdr>
    </w:div>
    <w:div w:id="480080035">
      <w:bodyDiv w:val="1"/>
      <w:marLeft w:val="0"/>
      <w:marRight w:val="0"/>
      <w:marTop w:val="0"/>
      <w:marBottom w:val="0"/>
      <w:divBdr>
        <w:top w:val="none" w:sz="0" w:space="0" w:color="auto"/>
        <w:left w:val="none" w:sz="0" w:space="0" w:color="auto"/>
        <w:bottom w:val="none" w:sz="0" w:space="0" w:color="auto"/>
        <w:right w:val="none" w:sz="0" w:space="0" w:color="auto"/>
      </w:divBdr>
    </w:div>
    <w:div w:id="494999426">
      <w:bodyDiv w:val="1"/>
      <w:marLeft w:val="0"/>
      <w:marRight w:val="0"/>
      <w:marTop w:val="0"/>
      <w:marBottom w:val="0"/>
      <w:divBdr>
        <w:top w:val="none" w:sz="0" w:space="0" w:color="auto"/>
        <w:left w:val="none" w:sz="0" w:space="0" w:color="auto"/>
        <w:bottom w:val="none" w:sz="0" w:space="0" w:color="auto"/>
        <w:right w:val="none" w:sz="0" w:space="0" w:color="auto"/>
      </w:divBdr>
    </w:div>
    <w:div w:id="591739688">
      <w:bodyDiv w:val="1"/>
      <w:marLeft w:val="0"/>
      <w:marRight w:val="0"/>
      <w:marTop w:val="0"/>
      <w:marBottom w:val="0"/>
      <w:divBdr>
        <w:top w:val="none" w:sz="0" w:space="0" w:color="auto"/>
        <w:left w:val="none" w:sz="0" w:space="0" w:color="auto"/>
        <w:bottom w:val="none" w:sz="0" w:space="0" w:color="auto"/>
        <w:right w:val="none" w:sz="0" w:space="0" w:color="auto"/>
      </w:divBdr>
    </w:div>
    <w:div w:id="617224979">
      <w:bodyDiv w:val="1"/>
      <w:marLeft w:val="0"/>
      <w:marRight w:val="0"/>
      <w:marTop w:val="0"/>
      <w:marBottom w:val="0"/>
      <w:divBdr>
        <w:top w:val="none" w:sz="0" w:space="0" w:color="auto"/>
        <w:left w:val="none" w:sz="0" w:space="0" w:color="auto"/>
        <w:bottom w:val="none" w:sz="0" w:space="0" w:color="auto"/>
        <w:right w:val="none" w:sz="0" w:space="0" w:color="auto"/>
      </w:divBdr>
    </w:div>
    <w:div w:id="654140602">
      <w:bodyDiv w:val="1"/>
      <w:marLeft w:val="0"/>
      <w:marRight w:val="0"/>
      <w:marTop w:val="0"/>
      <w:marBottom w:val="0"/>
      <w:divBdr>
        <w:top w:val="none" w:sz="0" w:space="0" w:color="auto"/>
        <w:left w:val="none" w:sz="0" w:space="0" w:color="auto"/>
        <w:bottom w:val="none" w:sz="0" w:space="0" w:color="auto"/>
        <w:right w:val="none" w:sz="0" w:space="0" w:color="auto"/>
      </w:divBdr>
    </w:div>
    <w:div w:id="666789203">
      <w:bodyDiv w:val="1"/>
      <w:marLeft w:val="0"/>
      <w:marRight w:val="0"/>
      <w:marTop w:val="0"/>
      <w:marBottom w:val="0"/>
      <w:divBdr>
        <w:top w:val="none" w:sz="0" w:space="0" w:color="auto"/>
        <w:left w:val="none" w:sz="0" w:space="0" w:color="auto"/>
        <w:bottom w:val="none" w:sz="0" w:space="0" w:color="auto"/>
        <w:right w:val="none" w:sz="0" w:space="0" w:color="auto"/>
      </w:divBdr>
    </w:div>
    <w:div w:id="750201093">
      <w:bodyDiv w:val="1"/>
      <w:marLeft w:val="0"/>
      <w:marRight w:val="0"/>
      <w:marTop w:val="0"/>
      <w:marBottom w:val="0"/>
      <w:divBdr>
        <w:top w:val="none" w:sz="0" w:space="0" w:color="auto"/>
        <w:left w:val="none" w:sz="0" w:space="0" w:color="auto"/>
        <w:bottom w:val="none" w:sz="0" w:space="0" w:color="auto"/>
        <w:right w:val="none" w:sz="0" w:space="0" w:color="auto"/>
      </w:divBdr>
    </w:div>
    <w:div w:id="769934016">
      <w:bodyDiv w:val="1"/>
      <w:marLeft w:val="0"/>
      <w:marRight w:val="0"/>
      <w:marTop w:val="0"/>
      <w:marBottom w:val="0"/>
      <w:divBdr>
        <w:top w:val="none" w:sz="0" w:space="0" w:color="auto"/>
        <w:left w:val="none" w:sz="0" w:space="0" w:color="auto"/>
        <w:bottom w:val="none" w:sz="0" w:space="0" w:color="auto"/>
        <w:right w:val="none" w:sz="0" w:space="0" w:color="auto"/>
      </w:divBdr>
    </w:div>
    <w:div w:id="913317808">
      <w:bodyDiv w:val="1"/>
      <w:marLeft w:val="0"/>
      <w:marRight w:val="0"/>
      <w:marTop w:val="0"/>
      <w:marBottom w:val="0"/>
      <w:divBdr>
        <w:top w:val="none" w:sz="0" w:space="0" w:color="auto"/>
        <w:left w:val="none" w:sz="0" w:space="0" w:color="auto"/>
        <w:bottom w:val="none" w:sz="0" w:space="0" w:color="auto"/>
        <w:right w:val="none" w:sz="0" w:space="0" w:color="auto"/>
      </w:divBdr>
    </w:div>
    <w:div w:id="984241586">
      <w:bodyDiv w:val="1"/>
      <w:marLeft w:val="0"/>
      <w:marRight w:val="0"/>
      <w:marTop w:val="0"/>
      <w:marBottom w:val="0"/>
      <w:divBdr>
        <w:top w:val="none" w:sz="0" w:space="0" w:color="auto"/>
        <w:left w:val="none" w:sz="0" w:space="0" w:color="auto"/>
        <w:bottom w:val="none" w:sz="0" w:space="0" w:color="auto"/>
        <w:right w:val="none" w:sz="0" w:space="0" w:color="auto"/>
      </w:divBdr>
    </w:div>
    <w:div w:id="1001856127">
      <w:bodyDiv w:val="1"/>
      <w:marLeft w:val="0"/>
      <w:marRight w:val="0"/>
      <w:marTop w:val="0"/>
      <w:marBottom w:val="0"/>
      <w:divBdr>
        <w:top w:val="none" w:sz="0" w:space="0" w:color="auto"/>
        <w:left w:val="none" w:sz="0" w:space="0" w:color="auto"/>
        <w:bottom w:val="none" w:sz="0" w:space="0" w:color="auto"/>
        <w:right w:val="none" w:sz="0" w:space="0" w:color="auto"/>
      </w:divBdr>
    </w:div>
    <w:div w:id="1002971114">
      <w:bodyDiv w:val="1"/>
      <w:marLeft w:val="0"/>
      <w:marRight w:val="0"/>
      <w:marTop w:val="0"/>
      <w:marBottom w:val="0"/>
      <w:divBdr>
        <w:top w:val="none" w:sz="0" w:space="0" w:color="auto"/>
        <w:left w:val="none" w:sz="0" w:space="0" w:color="auto"/>
        <w:bottom w:val="none" w:sz="0" w:space="0" w:color="auto"/>
        <w:right w:val="none" w:sz="0" w:space="0" w:color="auto"/>
      </w:divBdr>
    </w:div>
    <w:div w:id="1019548148">
      <w:bodyDiv w:val="1"/>
      <w:marLeft w:val="0"/>
      <w:marRight w:val="0"/>
      <w:marTop w:val="0"/>
      <w:marBottom w:val="0"/>
      <w:divBdr>
        <w:top w:val="none" w:sz="0" w:space="0" w:color="auto"/>
        <w:left w:val="none" w:sz="0" w:space="0" w:color="auto"/>
        <w:bottom w:val="none" w:sz="0" w:space="0" w:color="auto"/>
        <w:right w:val="none" w:sz="0" w:space="0" w:color="auto"/>
      </w:divBdr>
    </w:div>
    <w:div w:id="1051880946">
      <w:bodyDiv w:val="1"/>
      <w:marLeft w:val="0"/>
      <w:marRight w:val="0"/>
      <w:marTop w:val="0"/>
      <w:marBottom w:val="0"/>
      <w:divBdr>
        <w:top w:val="none" w:sz="0" w:space="0" w:color="auto"/>
        <w:left w:val="none" w:sz="0" w:space="0" w:color="auto"/>
        <w:bottom w:val="none" w:sz="0" w:space="0" w:color="auto"/>
        <w:right w:val="none" w:sz="0" w:space="0" w:color="auto"/>
      </w:divBdr>
    </w:div>
    <w:div w:id="1064570700">
      <w:bodyDiv w:val="1"/>
      <w:marLeft w:val="0"/>
      <w:marRight w:val="0"/>
      <w:marTop w:val="0"/>
      <w:marBottom w:val="0"/>
      <w:divBdr>
        <w:top w:val="none" w:sz="0" w:space="0" w:color="auto"/>
        <w:left w:val="none" w:sz="0" w:space="0" w:color="auto"/>
        <w:bottom w:val="none" w:sz="0" w:space="0" w:color="auto"/>
        <w:right w:val="none" w:sz="0" w:space="0" w:color="auto"/>
      </w:divBdr>
      <w:divsChild>
        <w:div w:id="1348681135">
          <w:marLeft w:val="0"/>
          <w:marRight w:val="0"/>
          <w:marTop w:val="100"/>
          <w:marBottom w:val="100"/>
          <w:divBdr>
            <w:top w:val="none" w:sz="0" w:space="0" w:color="auto"/>
            <w:left w:val="none" w:sz="0" w:space="0" w:color="auto"/>
            <w:bottom w:val="none" w:sz="0" w:space="0" w:color="auto"/>
            <w:right w:val="none" w:sz="0" w:space="0" w:color="auto"/>
          </w:divBdr>
          <w:divsChild>
            <w:div w:id="72819143">
              <w:marLeft w:val="0"/>
              <w:marRight w:val="0"/>
              <w:marTop w:val="0"/>
              <w:marBottom w:val="0"/>
              <w:divBdr>
                <w:top w:val="none" w:sz="0" w:space="0" w:color="auto"/>
                <w:left w:val="none" w:sz="0" w:space="0" w:color="auto"/>
                <w:bottom w:val="none" w:sz="0" w:space="0" w:color="auto"/>
                <w:right w:val="none" w:sz="0" w:space="0" w:color="auto"/>
              </w:divBdr>
              <w:divsChild>
                <w:div w:id="1379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5214">
      <w:bodyDiv w:val="1"/>
      <w:marLeft w:val="0"/>
      <w:marRight w:val="0"/>
      <w:marTop w:val="0"/>
      <w:marBottom w:val="0"/>
      <w:divBdr>
        <w:top w:val="none" w:sz="0" w:space="0" w:color="auto"/>
        <w:left w:val="none" w:sz="0" w:space="0" w:color="auto"/>
        <w:bottom w:val="none" w:sz="0" w:space="0" w:color="auto"/>
        <w:right w:val="none" w:sz="0" w:space="0" w:color="auto"/>
      </w:divBdr>
    </w:div>
    <w:div w:id="1108623710">
      <w:bodyDiv w:val="1"/>
      <w:marLeft w:val="0"/>
      <w:marRight w:val="0"/>
      <w:marTop w:val="0"/>
      <w:marBottom w:val="0"/>
      <w:divBdr>
        <w:top w:val="none" w:sz="0" w:space="0" w:color="auto"/>
        <w:left w:val="none" w:sz="0" w:space="0" w:color="auto"/>
        <w:bottom w:val="none" w:sz="0" w:space="0" w:color="auto"/>
        <w:right w:val="none" w:sz="0" w:space="0" w:color="auto"/>
      </w:divBdr>
    </w:div>
    <w:div w:id="1151750213">
      <w:bodyDiv w:val="1"/>
      <w:marLeft w:val="0"/>
      <w:marRight w:val="0"/>
      <w:marTop w:val="0"/>
      <w:marBottom w:val="0"/>
      <w:divBdr>
        <w:top w:val="none" w:sz="0" w:space="0" w:color="auto"/>
        <w:left w:val="none" w:sz="0" w:space="0" w:color="auto"/>
        <w:bottom w:val="none" w:sz="0" w:space="0" w:color="auto"/>
        <w:right w:val="none" w:sz="0" w:space="0" w:color="auto"/>
      </w:divBdr>
    </w:div>
    <w:div w:id="1244412945">
      <w:bodyDiv w:val="1"/>
      <w:marLeft w:val="0"/>
      <w:marRight w:val="0"/>
      <w:marTop w:val="0"/>
      <w:marBottom w:val="0"/>
      <w:divBdr>
        <w:top w:val="none" w:sz="0" w:space="0" w:color="auto"/>
        <w:left w:val="none" w:sz="0" w:space="0" w:color="auto"/>
        <w:bottom w:val="none" w:sz="0" w:space="0" w:color="auto"/>
        <w:right w:val="none" w:sz="0" w:space="0" w:color="auto"/>
      </w:divBdr>
    </w:div>
    <w:div w:id="1325085695">
      <w:bodyDiv w:val="1"/>
      <w:marLeft w:val="0"/>
      <w:marRight w:val="0"/>
      <w:marTop w:val="0"/>
      <w:marBottom w:val="0"/>
      <w:divBdr>
        <w:top w:val="none" w:sz="0" w:space="0" w:color="auto"/>
        <w:left w:val="none" w:sz="0" w:space="0" w:color="auto"/>
        <w:bottom w:val="none" w:sz="0" w:space="0" w:color="auto"/>
        <w:right w:val="none" w:sz="0" w:space="0" w:color="auto"/>
      </w:divBdr>
    </w:div>
    <w:div w:id="1445537602">
      <w:bodyDiv w:val="1"/>
      <w:marLeft w:val="0"/>
      <w:marRight w:val="0"/>
      <w:marTop w:val="0"/>
      <w:marBottom w:val="0"/>
      <w:divBdr>
        <w:top w:val="none" w:sz="0" w:space="0" w:color="auto"/>
        <w:left w:val="none" w:sz="0" w:space="0" w:color="auto"/>
        <w:bottom w:val="none" w:sz="0" w:space="0" w:color="auto"/>
        <w:right w:val="none" w:sz="0" w:space="0" w:color="auto"/>
      </w:divBdr>
    </w:div>
    <w:div w:id="1457412901">
      <w:bodyDiv w:val="1"/>
      <w:marLeft w:val="0"/>
      <w:marRight w:val="0"/>
      <w:marTop w:val="0"/>
      <w:marBottom w:val="0"/>
      <w:divBdr>
        <w:top w:val="none" w:sz="0" w:space="0" w:color="auto"/>
        <w:left w:val="none" w:sz="0" w:space="0" w:color="auto"/>
        <w:bottom w:val="none" w:sz="0" w:space="0" w:color="auto"/>
        <w:right w:val="none" w:sz="0" w:space="0" w:color="auto"/>
      </w:divBdr>
    </w:div>
    <w:div w:id="1806846393">
      <w:bodyDiv w:val="1"/>
      <w:marLeft w:val="0"/>
      <w:marRight w:val="0"/>
      <w:marTop w:val="0"/>
      <w:marBottom w:val="0"/>
      <w:divBdr>
        <w:top w:val="none" w:sz="0" w:space="0" w:color="auto"/>
        <w:left w:val="none" w:sz="0" w:space="0" w:color="auto"/>
        <w:bottom w:val="none" w:sz="0" w:space="0" w:color="auto"/>
        <w:right w:val="none" w:sz="0" w:space="0" w:color="auto"/>
      </w:divBdr>
    </w:div>
    <w:div w:id="1879583070">
      <w:bodyDiv w:val="1"/>
      <w:marLeft w:val="0"/>
      <w:marRight w:val="0"/>
      <w:marTop w:val="0"/>
      <w:marBottom w:val="0"/>
      <w:divBdr>
        <w:top w:val="none" w:sz="0" w:space="0" w:color="auto"/>
        <w:left w:val="none" w:sz="0" w:space="0" w:color="auto"/>
        <w:bottom w:val="none" w:sz="0" w:space="0" w:color="auto"/>
        <w:right w:val="none" w:sz="0" w:space="0" w:color="auto"/>
      </w:divBdr>
    </w:div>
    <w:div w:id="1928998209">
      <w:bodyDiv w:val="1"/>
      <w:marLeft w:val="0"/>
      <w:marRight w:val="0"/>
      <w:marTop w:val="0"/>
      <w:marBottom w:val="0"/>
      <w:divBdr>
        <w:top w:val="none" w:sz="0" w:space="0" w:color="auto"/>
        <w:left w:val="none" w:sz="0" w:space="0" w:color="auto"/>
        <w:bottom w:val="none" w:sz="0" w:space="0" w:color="auto"/>
        <w:right w:val="none" w:sz="0" w:space="0" w:color="auto"/>
      </w:divBdr>
    </w:div>
    <w:div w:id="195632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amii@zaums.ac.ir"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9C12A-C525-4990-B1A6-B1BC3575B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5794</TotalTime>
  <Pages>1</Pages>
  <Words>4660</Words>
  <Characters>26566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dc:creator>
  <cp:keywords/>
  <dc:description/>
  <cp:lastModifiedBy>10</cp:lastModifiedBy>
  <cp:revision>16</cp:revision>
  <dcterms:created xsi:type="dcterms:W3CDTF">2025-05-02T08:21:00Z</dcterms:created>
  <dcterms:modified xsi:type="dcterms:W3CDTF">2025-05-29T09:14:00Z</dcterms:modified>
</cp:coreProperties>
</file>