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FF" w:rsidRDefault="00775CFF">
      <w:pPr>
        <w:rPr>
          <w:rFonts w:asciiTheme="majorBidi" w:hAnsiTheme="majorBidi" w:cstheme="majorBidi"/>
          <w:b/>
          <w:bCs/>
          <w:sz w:val="24"/>
          <w:szCs w:val="24"/>
        </w:rPr>
      </w:pPr>
      <w:r w:rsidRPr="00775CFF">
        <w:rPr>
          <w:rFonts w:asciiTheme="majorBidi" w:hAnsiTheme="majorBidi" w:cstheme="majorBidi"/>
          <w:b/>
          <w:bCs/>
          <w:sz w:val="24"/>
          <w:szCs w:val="24"/>
        </w:rPr>
        <w:t>Investigation of HPV Type 16/18 as a Risk Ma</w:t>
      </w:r>
      <w:r w:rsidRPr="004B48E1">
        <w:rPr>
          <w:rFonts w:asciiTheme="majorBidi" w:hAnsiTheme="majorBidi" w:cstheme="majorBidi"/>
          <w:b/>
          <w:bCs/>
          <w:sz w:val="24"/>
          <w:szCs w:val="24"/>
        </w:rPr>
        <w:t>rker in the Gastric Carcinoma Patients Ardabil Province</w:t>
      </w:r>
    </w:p>
    <w:p w:rsidR="007B59BF" w:rsidRDefault="007B59BF" w:rsidP="00D53D42">
      <w:pPr>
        <w:rPr>
          <w:rFonts w:asciiTheme="majorBidi" w:hAnsiTheme="majorBidi" w:cstheme="majorBidi"/>
          <w:sz w:val="24"/>
          <w:szCs w:val="24"/>
        </w:rPr>
      </w:pPr>
      <w:r>
        <w:rPr>
          <w:rFonts w:asciiTheme="majorBidi" w:hAnsiTheme="majorBidi" w:cstheme="majorBidi"/>
          <w:b/>
          <w:bCs/>
          <w:sz w:val="24"/>
          <w:szCs w:val="24"/>
        </w:rPr>
        <w:t xml:space="preserve">Running title: </w:t>
      </w:r>
      <w:r w:rsidRPr="007B59BF">
        <w:rPr>
          <w:rFonts w:asciiTheme="majorBidi" w:hAnsiTheme="majorBidi" w:cstheme="majorBidi"/>
          <w:sz w:val="24"/>
          <w:szCs w:val="24"/>
        </w:rPr>
        <w:t>Investigation of HPV as a Risk Marker</w:t>
      </w:r>
      <w:r w:rsidR="00D53D42">
        <w:rPr>
          <w:rFonts w:asciiTheme="majorBidi" w:hAnsiTheme="majorBidi" w:cstheme="majorBidi"/>
          <w:sz w:val="24"/>
          <w:szCs w:val="24"/>
        </w:rPr>
        <w:t xml:space="preserve"> </w:t>
      </w:r>
    </w:p>
    <w:p w:rsidR="00FB6A3D" w:rsidRDefault="00FB6A3D">
      <w:pPr>
        <w:rPr>
          <w:rFonts w:asciiTheme="majorBidi" w:hAnsiTheme="majorBidi" w:cstheme="majorBidi"/>
          <w:sz w:val="24"/>
          <w:szCs w:val="24"/>
        </w:rPr>
      </w:pPr>
    </w:p>
    <w:p w:rsidR="00FB6A3D" w:rsidRPr="009C2A7A" w:rsidRDefault="00FB6A3D" w:rsidP="0000451C">
      <w:pPr>
        <w:jc w:val="both"/>
        <w:rPr>
          <w:rFonts w:asciiTheme="majorBidi" w:hAnsiTheme="majorBidi" w:cstheme="majorBidi"/>
          <w:b/>
          <w:bCs/>
          <w:sz w:val="24"/>
          <w:szCs w:val="24"/>
          <w:rtl/>
        </w:rPr>
      </w:pPr>
      <w:r w:rsidRPr="009C2A7A">
        <w:rPr>
          <w:rFonts w:asciiTheme="majorBidi" w:hAnsiTheme="majorBidi" w:cstheme="majorBidi"/>
          <w:b/>
          <w:bCs/>
          <w:sz w:val="24"/>
          <w:szCs w:val="24"/>
        </w:rPr>
        <w:t>Seyyedeh Fatemeh Younesi</w:t>
      </w:r>
      <w:r w:rsidRPr="009C2A7A">
        <w:rPr>
          <w:rFonts w:asciiTheme="majorBidi" w:hAnsiTheme="majorBidi" w:cstheme="majorBidi"/>
          <w:b/>
          <w:bCs/>
          <w:sz w:val="24"/>
          <w:szCs w:val="24"/>
          <w:vertAlign w:val="superscript"/>
        </w:rPr>
        <w:t>1</w:t>
      </w:r>
      <w:r w:rsidRPr="009C2A7A">
        <w:rPr>
          <w:rFonts w:asciiTheme="majorBidi" w:hAnsiTheme="majorBidi" w:cstheme="majorBidi"/>
          <w:b/>
          <w:bCs/>
          <w:sz w:val="24"/>
          <w:szCs w:val="24"/>
        </w:rPr>
        <w:t>,</w:t>
      </w:r>
      <w:r>
        <w:rPr>
          <w:rFonts w:asciiTheme="majorBidi" w:hAnsiTheme="majorBidi" w:cstheme="majorBidi"/>
          <w:b/>
          <w:bCs/>
          <w:sz w:val="24"/>
          <w:szCs w:val="24"/>
        </w:rPr>
        <w:t xml:space="preserve"> </w:t>
      </w:r>
      <w:r w:rsidRPr="009C2A7A">
        <w:rPr>
          <w:rFonts w:asciiTheme="majorBidi" w:hAnsiTheme="majorBidi" w:cstheme="majorBidi"/>
          <w:b/>
          <w:bCs/>
          <w:sz w:val="24"/>
          <w:szCs w:val="24"/>
        </w:rPr>
        <w:t>KeyvanRa</w:t>
      </w:r>
      <w:r>
        <w:rPr>
          <w:rFonts w:asciiTheme="majorBidi" w:hAnsiTheme="majorBidi" w:cstheme="majorBidi"/>
          <w:b/>
          <w:bCs/>
          <w:sz w:val="24"/>
          <w:szCs w:val="24"/>
        </w:rPr>
        <w:t>d</w:t>
      </w:r>
      <w:r w:rsidRPr="009C2A7A">
        <w:rPr>
          <w:rFonts w:asciiTheme="majorBidi" w:hAnsiTheme="majorBidi" w:cstheme="majorBidi"/>
          <w:b/>
          <w:bCs/>
          <w:sz w:val="24"/>
          <w:szCs w:val="24"/>
        </w:rPr>
        <w:t>jabalizadeh</w:t>
      </w:r>
      <w:r w:rsidR="0000451C">
        <w:rPr>
          <w:rFonts w:asciiTheme="majorBidi" w:hAnsiTheme="majorBidi" w:cstheme="majorBidi"/>
          <w:b/>
          <w:bCs/>
          <w:sz w:val="24"/>
          <w:szCs w:val="24"/>
          <w:vertAlign w:val="superscript"/>
        </w:rPr>
        <w:t>1</w:t>
      </w:r>
      <w:r w:rsidRPr="009C2A7A">
        <w:rPr>
          <w:rFonts w:asciiTheme="majorBidi" w:hAnsiTheme="majorBidi" w:cstheme="majorBidi"/>
          <w:b/>
          <w:bCs/>
          <w:sz w:val="24"/>
          <w:szCs w:val="24"/>
          <w:vertAlign w:val="superscript"/>
        </w:rPr>
        <w:t>*</w:t>
      </w:r>
    </w:p>
    <w:p w:rsidR="00FB6A3D" w:rsidRPr="009C2A7A" w:rsidRDefault="00FB6A3D" w:rsidP="00FB6A3D">
      <w:pPr>
        <w:pStyle w:val="ListParagraph"/>
        <w:numPr>
          <w:ilvl w:val="0"/>
          <w:numId w:val="3"/>
        </w:numPr>
        <w:jc w:val="both"/>
        <w:rPr>
          <w:rFonts w:asciiTheme="majorBidi" w:hAnsiTheme="majorBidi" w:cstheme="majorBidi"/>
          <w:sz w:val="24"/>
          <w:szCs w:val="24"/>
        </w:rPr>
      </w:pPr>
      <w:bookmarkStart w:id="0" w:name="_Hlk177326850"/>
      <w:r w:rsidRPr="009C2A7A">
        <w:rPr>
          <w:rFonts w:asciiTheme="majorBidi" w:hAnsiTheme="majorBidi" w:cstheme="majorBidi"/>
          <w:sz w:val="24"/>
          <w:szCs w:val="24"/>
        </w:rPr>
        <w:t>Department of biology, Ardabil branch, Islamic Azad University, Ardabil, Iran</w:t>
      </w:r>
    </w:p>
    <w:bookmarkEnd w:id="0"/>
    <w:p w:rsidR="00FB6A3D" w:rsidRPr="009C2A7A" w:rsidRDefault="00FB6A3D" w:rsidP="00FB6A3D">
      <w:pPr>
        <w:jc w:val="both"/>
        <w:rPr>
          <w:rFonts w:asciiTheme="majorBidi" w:hAnsiTheme="majorBidi" w:cstheme="majorBidi"/>
          <w:sz w:val="24"/>
          <w:szCs w:val="24"/>
        </w:rPr>
      </w:pPr>
    </w:p>
    <w:p w:rsidR="00FB6A3D" w:rsidRDefault="00FB6A3D" w:rsidP="00FB6A3D">
      <w:pPr>
        <w:jc w:val="both"/>
        <w:rPr>
          <w:rFonts w:asciiTheme="majorBidi" w:hAnsiTheme="majorBidi" w:cstheme="majorBidi"/>
        </w:rPr>
      </w:pPr>
    </w:p>
    <w:p w:rsidR="00FB6A3D" w:rsidRPr="009C2A7A" w:rsidRDefault="00FB6A3D" w:rsidP="00FB6A3D">
      <w:pPr>
        <w:jc w:val="both"/>
        <w:rPr>
          <w:rFonts w:asciiTheme="majorBidi" w:hAnsiTheme="majorBidi" w:cstheme="majorBidi"/>
          <w:b/>
          <w:bCs/>
          <w:sz w:val="24"/>
          <w:szCs w:val="24"/>
        </w:rPr>
      </w:pPr>
      <w:r w:rsidRPr="009C2A7A">
        <w:rPr>
          <w:rFonts w:asciiTheme="majorBidi" w:hAnsiTheme="majorBidi" w:cstheme="majorBidi"/>
          <w:b/>
          <w:bCs/>
          <w:sz w:val="24"/>
          <w:szCs w:val="24"/>
        </w:rPr>
        <w:t>Corresponding author:</w:t>
      </w:r>
    </w:p>
    <w:p w:rsidR="00FB6A3D" w:rsidRPr="009C2A7A" w:rsidRDefault="00FB6A3D" w:rsidP="00FB6A3D">
      <w:pPr>
        <w:jc w:val="both"/>
        <w:rPr>
          <w:rFonts w:asciiTheme="majorBidi" w:hAnsiTheme="majorBidi" w:cstheme="majorBidi"/>
          <w:sz w:val="24"/>
          <w:szCs w:val="24"/>
        </w:rPr>
      </w:pPr>
      <w:r w:rsidRPr="009C2A7A">
        <w:rPr>
          <w:rFonts w:asciiTheme="majorBidi" w:hAnsiTheme="majorBidi" w:cstheme="majorBidi"/>
          <w:sz w:val="24"/>
          <w:szCs w:val="24"/>
        </w:rPr>
        <w:t>Dr. Keyvan Ra</w:t>
      </w:r>
      <w:r>
        <w:rPr>
          <w:rFonts w:asciiTheme="majorBidi" w:hAnsiTheme="majorBidi" w:cstheme="majorBidi"/>
          <w:sz w:val="24"/>
          <w:szCs w:val="24"/>
        </w:rPr>
        <w:t>d</w:t>
      </w:r>
      <w:r w:rsidRPr="009C2A7A">
        <w:rPr>
          <w:rFonts w:asciiTheme="majorBidi" w:hAnsiTheme="majorBidi" w:cstheme="majorBidi"/>
          <w:sz w:val="24"/>
          <w:szCs w:val="24"/>
        </w:rPr>
        <w:t>jabalizadeh</w:t>
      </w:r>
    </w:p>
    <w:p w:rsidR="00FB6A3D" w:rsidRDefault="00FB6A3D" w:rsidP="00FB6A3D">
      <w:pPr>
        <w:jc w:val="both"/>
        <w:rPr>
          <w:rFonts w:asciiTheme="majorBidi" w:hAnsiTheme="majorBidi" w:cstheme="majorBidi"/>
          <w:sz w:val="24"/>
          <w:szCs w:val="24"/>
        </w:rPr>
      </w:pPr>
      <w:r w:rsidRPr="009C2A7A">
        <w:rPr>
          <w:rFonts w:asciiTheme="majorBidi" w:hAnsiTheme="majorBidi" w:cstheme="majorBidi"/>
          <w:sz w:val="24"/>
          <w:szCs w:val="24"/>
        </w:rPr>
        <w:t xml:space="preserve">Department of biology, Ardabil branch, Islamic Azad University, </w:t>
      </w:r>
      <w:r>
        <w:rPr>
          <w:rFonts w:asciiTheme="majorBidi" w:hAnsiTheme="majorBidi" w:cstheme="majorBidi"/>
          <w:sz w:val="24"/>
          <w:szCs w:val="24"/>
        </w:rPr>
        <w:t>Basij</w:t>
      </w:r>
      <w:r>
        <w:rPr>
          <w:rFonts w:asciiTheme="majorBidi" w:hAnsiTheme="majorBidi" w:cstheme="majorBidi"/>
          <w:sz w:val="24"/>
          <w:szCs w:val="24"/>
          <w:lang w:bidi="fa-IR"/>
        </w:rPr>
        <w:t xml:space="preserve"> square </w:t>
      </w:r>
      <w:r w:rsidRPr="009C2A7A">
        <w:rPr>
          <w:rFonts w:asciiTheme="majorBidi" w:hAnsiTheme="majorBidi" w:cstheme="majorBidi"/>
          <w:sz w:val="24"/>
          <w:szCs w:val="24"/>
        </w:rPr>
        <w:t>Ardabil, Iran</w:t>
      </w:r>
    </w:p>
    <w:p w:rsidR="00FB6A3D" w:rsidRPr="009C2A7A" w:rsidRDefault="00FB6A3D" w:rsidP="00FB6A3D">
      <w:pPr>
        <w:jc w:val="both"/>
        <w:rPr>
          <w:rFonts w:asciiTheme="majorBidi" w:hAnsiTheme="majorBidi" w:cstheme="majorBidi"/>
          <w:sz w:val="24"/>
          <w:szCs w:val="24"/>
        </w:rPr>
      </w:pPr>
      <w:r>
        <w:rPr>
          <w:rFonts w:asciiTheme="majorBidi" w:hAnsiTheme="majorBidi" w:cstheme="majorBidi"/>
          <w:sz w:val="24"/>
          <w:szCs w:val="24"/>
        </w:rPr>
        <w:t>Mobile phone</w:t>
      </w:r>
      <w:r w:rsidRPr="009C2A7A">
        <w:rPr>
          <w:rFonts w:asciiTheme="majorBidi" w:hAnsiTheme="majorBidi" w:cstheme="majorBidi"/>
          <w:sz w:val="24"/>
          <w:szCs w:val="24"/>
        </w:rPr>
        <w:t>: +98 9141529604</w:t>
      </w:r>
    </w:p>
    <w:p w:rsidR="00FB6A3D" w:rsidRPr="009C2A7A" w:rsidRDefault="00FB6A3D" w:rsidP="00FB6A3D">
      <w:pPr>
        <w:jc w:val="both"/>
        <w:rPr>
          <w:rFonts w:asciiTheme="majorBidi" w:hAnsiTheme="majorBidi" w:cstheme="majorBidi"/>
          <w:sz w:val="24"/>
          <w:szCs w:val="24"/>
          <w:lang w:bidi="fa-IR"/>
        </w:rPr>
      </w:pPr>
      <w:r w:rsidRPr="009C2A7A">
        <w:rPr>
          <w:rFonts w:asciiTheme="majorBidi" w:hAnsiTheme="majorBidi" w:cstheme="majorBidi"/>
          <w:sz w:val="24"/>
          <w:szCs w:val="24"/>
        </w:rPr>
        <w:t>E-mail: keyradj@gmail.com</w:t>
      </w:r>
    </w:p>
    <w:p w:rsidR="00FB6A3D" w:rsidRPr="004B48E1" w:rsidRDefault="00FB6A3D">
      <w:pPr>
        <w:rPr>
          <w:rFonts w:asciiTheme="majorBidi" w:hAnsiTheme="majorBidi" w:cstheme="majorBidi"/>
          <w:b/>
          <w:bCs/>
          <w:sz w:val="24"/>
          <w:szCs w:val="24"/>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rsidP="00775CFF">
      <w:pPr>
        <w:rPr>
          <w:rFonts w:asciiTheme="majorBidi" w:hAnsiTheme="majorBidi" w:cstheme="majorBidi"/>
          <w:b/>
          <w:bCs/>
          <w:sz w:val="24"/>
          <w:szCs w:val="24"/>
        </w:rPr>
      </w:pPr>
      <w:r w:rsidRPr="004B48E1">
        <w:rPr>
          <w:rFonts w:asciiTheme="majorBidi" w:hAnsiTheme="majorBidi" w:cstheme="majorBidi"/>
          <w:b/>
          <w:bCs/>
          <w:sz w:val="24"/>
          <w:szCs w:val="24"/>
        </w:rPr>
        <w:lastRenderedPageBreak/>
        <w:t>Abstract:</w:t>
      </w:r>
    </w:p>
    <w:p w:rsidR="00775CFF" w:rsidRPr="004B48E1" w:rsidRDefault="00F2464F" w:rsidP="00E7656A">
      <w:pPr>
        <w:jc w:val="both"/>
        <w:rPr>
          <w:rFonts w:asciiTheme="majorBidi" w:hAnsiTheme="majorBidi" w:cstheme="majorBidi"/>
          <w:sz w:val="24"/>
          <w:szCs w:val="24"/>
        </w:rPr>
      </w:pPr>
      <w:r>
        <w:rPr>
          <w:rFonts w:asciiTheme="majorBidi" w:hAnsiTheme="majorBidi" w:cstheme="majorBidi"/>
          <w:b/>
          <w:bCs/>
          <w:sz w:val="24"/>
          <w:szCs w:val="24"/>
        </w:rPr>
        <w:t>introduction</w:t>
      </w:r>
      <w:r w:rsidR="00775CFF" w:rsidRPr="004B48E1">
        <w:rPr>
          <w:rFonts w:asciiTheme="majorBidi" w:hAnsiTheme="majorBidi" w:cstheme="majorBidi"/>
          <w:b/>
          <w:bCs/>
          <w:sz w:val="24"/>
          <w:szCs w:val="24"/>
        </w:rPr>
        <w:t>:</w:t>
      </w:r>
      <w:r w:rsidR="00775CFF" w:rsidRPr="004B48E1">
        <w:rPr>
          <w:rFonts w:asciiTheme="majorBidi" w:hAnsiTheme="majorBidi" w:cstheme="majorBidi"/>
          <w:sz w:val="24"/>
          <w:szCs w:val="24"/>
        </w:rPr>
        <w:t xml:space="preserve"> Several risk factors for gastric carcinoma have been suggested, and human papillomavirus (HPV) infection is one of them. This virus, with more than 100 genotypes, is in the Papillomaviridae family. The present study was conducted to investigate the prevalence of human papillomavirus types 16 and 18 in gastric carcinoma patients in the Ardabil province.</w:t>
      </w:r>
    </w:p>
    <w:p w:rsidR="00775CFF" w:rsidRPr="004B48E1" w:rsidRDefault="00F2464F" w:rsidP="00E7656A">
      <w:pPr>
        <w:jc w:val="both"/>
        <w:rPr>
          <w:rFonts w:asciiTheme="majorBidi" w:hAnsiTheme="majorBidi" w:cstheme="majorBidi"/>
          <w:sz w:val="24"/>
          <w:szCs w:val="24"/>
        </w:rPr>
      </w:pPr>
      <w:r w:rsidRPr="004B48E1">
        <w:rPr>
          <w:rFonts w:asciiTheme="majorBidi" w:hAnsiTheme="majorBidi" w:cstheme="majorBidi"/>
          <w:b/>
          <w:bCs/>
          <w:sz w:val="24"/>
          <w:szCs w:val="24"/>
        </w:rPr>
        <w:t>Methods</w:t>
      </w:r>
      <w:r w:rsidR="00775CFF" w:rsidRPr="004B48E1">
        <w:rPr>
          <w:rFonts w:asciiTheme="majorBidi" w:hAnsiTheme="majorBidi" w:cstheme="majorBidi"/>
          <w:b/>
          <w:bCs/>
          <w:sz w:val="24"/>
          <w:szCs w:val="24"/>
        </w:rPr>
        <w:t>:</w:t>
      </w:r>
      <w:r w:rsidR="00775CFF" w:rsidRPr="004B48E1">
        <w:rPr>
          <w:rFonts w:asciiTheme="majorBidi" w:hAnsiTheme="majorBidi" w:cstheme="majorBidi"/>
          <w:sz w:val="24"/>
          <w:szCs w:val="24"/>
        </w:rPr>
        <w:t xml:space="preserve"> This study is a case-control study in which 50 patients with stomach cancer and 50 healthy individuals were tested for papillomavirus type 16 and 18 DNA in their blood samples after DNA extraction by polymerase chain reaction (PCR).</w:t>
      </w:r>
    </w:p>
    <w:p w:rsidR="00775CFF" w:rsidRPr="004B48E1" w:rsidRDefault="00775CFF" w:rsidP="00E7656A">
      <w:pPr>
        <w:jc w:val="both"/>
        <w:rPr>
          <w:rFonts w:asciiTheme="majorBidi" w:hAnsiTheme="majorBidi" w:cstheme="majorBidi"/>
          <w:sz w:val="24"/>
          <w:szCs w:val="24"/>
        </w:rPr>
      </w:pPr>
      <w:r w:rsidRPr="004B48E1">
        <w:rPr>
          <w:rFonts w:asciiTheme="majorBidi" w:hAnsiTheme="majorBidi" w:cstheme="majorBidi"/>
          <w:b/>
          <w:bCs/>
          <w:sz w:val="24"/>
          <w:szCs w:val="24"/>
        </w:rPr>
        <w:t>Results:</w:t>
      </w:r>
      <w:r w:rsidRPr="004B48E1">
        <w:rPr>
          <w:rFonts w:asciiTheme="majorBidi" w:hAnsiTheme="majorBidi" w:cstheme="majorBidi"/>
          <w:sz w:val="24"/>
          <w:szCs w:val="24"/>
        </w:rPr>
        <w:t xml:space="preserve"> In the study conducted, the frequency of healthy men and women was 46% and 54%, respectively, and in sick people, it was 66% and 34%. The present study showed that in the population of Ardabil province, the frequency of human papillomavirus types 16 and 18 in gastric carcinoma patients was zero.</w:t>
      </w:r>
    </w:p>
    <w:p w:rsidR="00775CFF" w:rsidRPr="004B48E1" w:rsidRDefault="00775CFF" w:rsidP="00E7656A">
      <w:pPr>
        <w:jc w:val="both"/>
        <w:rPr>
          <w:rFonts w:asciiTheme="majorBidi" w:hAnsiTheme="majorBidi" w:cstheme="majorBidi"/>
          <w:sz w:val="24"/>
          <w:szCs w:val="24"/>
        </w:rPr>
      </w:pPr>
      <w:r w:rsidRPr="004B48E1">
        <w:rPr>
          <w:rFonts w:asciiTheme="majorBidi" w:hAnsiTheme="majorBidi" w:cstheme="majorBidi"/>
          <w:b/>
          <w:bCs/>
          <w:sz w:val="24"/>
          <w:szCs w:val="24"/>
        </w:rPr>
        <w:t>Conclusion:</w:t>
      </w:r>
      <w:r w:rsidRPr="004B48E1">
        <w:rPr>
          <w:rFonts w:asciiTheme="majorBidi" w:hAnsiTheme="majorBidi" w:cstheme="majorBidi"/>
          <w:sz w:val="24"/>
          <w:szCs w:val="24"/>
        </w:rPr>
        <w:t xml:space="preserve"> The current study on human papillomavirus types 16 and 18 in patients with gastric cancer shows a very low frequency in the population of Ardabil province.</w:t>
      </w:r>
    </w:p>
    <w:p w:rsidR="00775CFF" w:rsidRPr="004B48E1" w:rsidRDefault="00775CFF" w:rsidP="00E7656A">
      <w:pPr>
        <w:jc w:val="both"/>
        <w:rPr>
          <w:rFonts w:asciiTheme="majorBidi" w:hAnsiTheme="majorBidi" w:cstheme="majorBidi"/>
          <w:sz w:val="24"/>
          <w:szCs w:val="24"/>
        </w:rPr>
      </w:pPr>
      <w:r w:rsidRPr="004B48E1">
        <w:rPr>
          <w:rFonts w:asciiTheme="majorBidi" w:hAnsiTheme="majorBidi" w:cstheme="majorBidi"/>
          <w:b/>
          <w:bCs/>
          <w:sz w:val="24"/>
          <w:szCs w:val="24"/>
        </w:rPr>
        <w:t>Keywords:</w:t>
      </w:r>
      <w:r w:rsidR="00F2464F">
        <w:rPr>
          <w:rFonts w:asciiTheme="majorBidi" w:hAnsiTheme="majorBidi" w:cstheme="majorBidi"/>
          <w:b/>
          <w:bCs/>
          <w:sz w:val="24"/>
          <w:szCs w:val="24"/>
        </w:rPr>
        <w:t xml:space="preserve"> </w:t>
      </w:r>
      <w:r w:rsidRPr="004B48E1">
        <w:rPr>
          <w:rFonts w:asciiTheme="majorBidi" w:hAnsiTheme="majorBidi" w:cstheme="majorBidi"/>
          <w:sz w:val="24"/>
          <w:szCs w:val="24"/>
        </w:rPr>
        <w:t>Human papillomavirus (HPV), Gastric Cancer (GC),</w:t>
      </w:r>
      <w:r w:rsidR="00F2464F">
        <w:rPr>
          <w:rFonts w:asciiTheme="majorBidi" w:hAnsiTheme="majorBidi" w:cstheme="majorBidi"/>
          <w:sz w:val="24"/>
          <w:szCs w:val="24"/>
        </w:rPr>
        <w:t xml:space="preserve"> </w:t>
      </w:r>
      <w:r w:rsidRPr="004B48E1">
        <w:rPr>
          <w:rFonts w:asciiTheme="majorBidi" w:hAnsiTheme="majorBidi" w:cstheme="majorBidi"/>
          <w:sz w:val="24"/>
          <w:szCs w:val="24"/>
        </w:rPr>
        <w:t>PCR,</w:t>
      </w:r>
      <w:r w:rsidR="00F2464F">
        <w:rPr>
          <w:rFonts w:asciiTheme="majorBidi" w:hAnsiTheme="majorBidi" w:cstheme="majorBidi"/>
          <w:sz w:val="24"/>
          <w:szCs w:val="24"/>
        </w:rPr>
        <w:t xml:space="preserve"> </w:t>
      </w:r>
      <w:r w:rsidRPr="004B48E1">
        <w:rPr>
          <w:rFonts w:asciiTheme="majorBidi" w:hAnsiTheme="majorBidi" w:cstheme="majorBidi"/>
          <w:sz w:val="24"/>
          <w:szCs w:val="24"/>
        </w:rPr>
        <w:t>Ardabil, Iran</w:t>
      </w:r>
    </w:p>
    <w:p w:rsidR="00775CFF" w:rsidRPr="004B48E1" w:rsidRDefault="00775CFF"/>
    <w:p w:rsidR="00775CFF" w:rsidRPr="004B48E1" w:rsidRDefault="00775CFF"/>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rtl/>
        </w:rPr>
      </w:pPr>
    </w:p>
    <w:p w:rsidR="00775CFF" w:rsidRPr="004B48E1" w:rsidRDefault="00775CFF">
      <w:pPr>
        <w:rPr>
          <w:sz w:val="24"/>
          <w:szCs w:val="24"/>
          <w:rtl/>
        </w:rPr>
      </w:pPr>
    </w:p>
    <w:p w:rsidR="003F1756" w:rsidRPr="004B48E1" w:rsidRDefault="003F1756">
      <w:pPr>
        <w:rPr>
          <w:sz w:val="24"/>
          <w:szCs w:val="24"/>
          <w:rtl/>
        </w:rPr>
      </w:pPr>
    </w:p>
    <w:p w:rsidR="00775CFF" w:rsidRPr="004B48E1" w:rsidRDefault="00775CFF">
      <w:pPr>
        <w:rPr>
          <w:rtl/>
        </w:rPr>
      </w:pPr>
    </w:p>
    <w:p w:rsidR="00775CFF" w:rsidRPr="004B48E1" w:rsidRDefault="00775CFF"/>
    <w:p w:rsidR="00775CFF" w:rsidRPr="004B48E1" w:rsidRDefault="00775CFF">
      <w:pPr>
        <w:rPr>
          <w:rFonts w:asciiTheme="majorBidi" w:hAnsiTheme="majorBidi" w:cstheme="majorBidi"/>
          <w:b/>
          <w:bCs/>
        </w:rPr>
      </w:pPr>
      <w:r w:rsidRPr="004B48E1">
        <w:rPr>
          <w:rFonts w:asciiTheme="majorBidi" w:hAnsiTheme="majorBidi" w:cstheme="majorBidi"/>
          <w:b/>
          <w:bCs/>
        </w:rPr>
        <w:lastRenderedPageBreak/>
        <w:t>Introducion</w:t>
      </w:r>
    </w:p>
    <w:p w:rsidR="00F2464F" w:rsidRDefault="00025F92" w:rsidP="00F2464F">
      <w:pPr>
        <w:spacing w:after="0" w:line="360" w:lineRule="auto"/>
        <w:jc w:val="both"/>
        <w:rPr>
          <w:rFonts w:ascii="Times New Roman" w:hAnsi="Times New Roman" w:cs="Times New Roman"/>
          <w:sz w:val="24"/>
          <w:szCs w:val="24"/>
          <w:lang w:bidi="fa-IR"/>
        </w:rPr>
      </w:pPr>
      <w:r w:rsidRPr="004B48E1">
        <w:rPr>
          <w:rFonts w:asciiTheme="majorBidi" w:hAnsiTheme="majorBidi" w:cstheme="majorBidi"/>
          <w:sz w:val="24"/>
          <w:szCs w:val="24"/>
        </w:rPr>
        <w:t>Gastric cancer is one of the most common cancers in the world</w:t>
      </w:r>
      <w:r w:rsidR="00454F5A" w:rsidRPr="004B48E1">
        <w:rPr>
          <w:rFonts w:asciiTheme="majorBidi" w:hAnsiTheme="majorBidi" w:cstheme="majorBidi"/>
          <w:sz w:val="24"/>
          <w:szCs w:val="24"/>
        </w:rPr>
        <w:t xml:space="preserve"> (</w:t>
      </w:r>
      <w:r w:rsidR="00095108" w:rsidRPr="004B48E1">
        <w:rPr>
          <w:rFonts w:asciiTheme="majorBidi" w:hAnsiTheme="majorBidi" w:cstheme="majorBidi"/>
          <w:sz w:val="24"/>
          <w:szCs w:val="24"/>
        </w:rPr>
        <w:t>1</w:t>
      </w:r>
      <w:r w:rsidR="00454F5A" w:rsidRPr="004B48E1">
        <w:rPr>
          <w:rFonts w:asciiTheme="majorBidi" w:hAnsiTheme="majorBidi" w:cstheme="majorBidi"/>
          <w:sz w:val="24"/>
          <w:szCs w:val="24"/>
        </w:rPr>
        <w:t>)</w:t>
      </w:r>
      <w:r w:rsidR="000E1EB3" w:rsidRPr="004B48E1">
        <w:rPr>
          <w:rFonts w:asciiTheme="majorBidi" w:hAnsiTheme="majorBidi" w:cstheme="majorBidi"/>
          <w:sz w:val="24"/>
          <w:szCs w:val="24"/>
        </w:rPr>
        <w:t xml:space="preserve">. According to GLOBOCAN 2020, gastric cancer (GC) is the fifth most prevalent malignancy and the fourth </w:t>
      </w:r>
      <w:r w:rsidR="007F2699" w:rsidRPr="004B48E1">
        <w:rPr>
          <w:rFonts w:asciiTheme="majorBidi" w:hAnsiTheme="majorBidi" w:cstheme="majorBidi"/>
          <w:sz w:val="24"/>
          <w:szCs w:val="24"/>
        </w:rPr>
        <w:t>leading cause of cancer</w:t>
      </w:r>
      <w:r w:rsidR="00EA11F3">
        <w:rPr>
          <w:rFonts w:asciiTheme="majorBidi" w:hAnsiTheme="majorBidi" w:cstheme="majorBidi"/>
          <w:sz w:val="24"/>
          <w:szCs w:val="24"/>
        </w:rPr>
        <w:t xml:space="preserve"> </w:t>
      </w:r>
      <w:r w:rsidR="007F2699" w:rsidRPr="004B48E1">
        <w:rPr>
          <w:rFonts w:asciiTheme="majorBidi" w:hAnsiTheme="majorBidi" w:cstheme="majorBidi"/>
          <w:sz w:val="24"/>
          <w:szCs w:val="24"/>
        </w:rPr>
        <w:t>specific deaths</w:t>
      </w:r>
      <w:r w:rsidR="00285661">
        <w:rPr>
          <w:rFonts w:asciiTheme="majorBidi" w:hAnsiTheme="majorBidi" w:cstheme="majorBidi"/>
          <w:sz w:val="24"/>
          <w:szCs w:val="24"/>
        </w:rPr>
        <w:t xml:space="preserve"> </w:t>
      </w:r>
      <w:r w:rsidR="00095108" w:rsidRPr="004B48E1">
        <w:rPr>
          <w:rFonts w:asciiTheme="majorBidi" w:hAnsiTheme="majorBidi" w:cstheme="majorBidi"/>
          <w:sz w:val="24"/>
          <w:szCs w:val="24"/>
        </w:rPr>
        <w:t>(</w:t>
      </w:r>
      <w:r w:rsidR="003E4AD4" w:rsidRPr="004B48E1">
        <w:rPr>
          <w:rFonts w:asciiTheme="majorBidi" w:hAnsiTheme="majorBidi" w:cstheme="majorBidi"/>
          <w:sz w:val="24"/>
          <w:szCs w:val="24"/>
        </w:rPr>
        <w:t>2</w:t>
      </w:r>
      <w:r w:rsidR="00EA11F3">
        <w:rPr>
          <w:rFonts w:asciiTheme="majorBidi" w:hAnsiTheme="majorBidi" w:cstheme="majorBidi"/>
          <w:sz w:val="24"/>
          <w:szCs w:val="24"/>
        </w:rPr>
        <w:t>,</w:t>
      </w:r>
      <w:r w:rsidR="00EA11F3" w:rsidRPr="004B48E1">
        <w:rPr>
          <w:rFonts w:asciiTheme="majorBidi" w:hAnsiTheme="majorBidi" w:cstheme="majorBidi"/>
          <w:sz w:val="24"/>
          <w:szCs w:val="24"/>
        </w:rPr>
        <w:t xml:space="preserve"> 4</w:t>
      </w:r>
      <w:r w:rsidR="00E67E48" w:rsidRPr="004B48E1">
        <w:rPr>
          <w:rFonts w:asciiTheme="majorBidi" w:hAnsiTheme="majorBidi" w:cstheme="majorBidi"/>
          <w:sz w:val="24"/>
          <w:szCs w:val="24"/>
        </w:rPr>
        <w:t>).</w:t>
      </w:r>
      <w:r w:rsidR="004B24A4" w:rsidRPr="004B48E1">
        <w:rPr>
          <w:rFonts w:asciiTheme="majorBidi" w:hAnsiTheme="majorBidi" w:cstheme="majorBidi"/>
          <w:sz w:val="24"/>
          <w:szCs w:val="24"/>
        </w:rPr>
        <w:t>The prevalence of stomach cancer is higher in men than in women</w:t>
      </w:r>
      <w:r w:rsidR="00C0336B" w:rsidRPr="004B48E1">
        <w:rPr>
          <w:rFonts w:asciiTheme="majorBidi" w:hAnsiTheme="majorBidi" w:cstheme="majorBidi"/>
          <w:sz w:val="24"/>
          <w:szCs w:val="24"/>
        </w:rPr>
        <w:t xml:space="preserve"> (</w:t>
      </w:r>
      <w:r w:rsidR="00EB005D" w:rsidRPr="004B48E1">
        <w:rPr>
          <w:rFonts w:asciiTheme="majorBidi" w:hAnsiTheme="majorBidi" w:cstheme="majorBidi"/>
          <w:sz w:val="24"/>
          <w:szCs w:val="24"/>
        </w:rPr>
        <w:t>4</w:t>
      </w:r>
      <w:r w:rsidR="00C0336B" w:rsidRPr="004B48E1">
        <w:rPr>
          <w:rFonts w:asciiTheme="majorBidi" w:hAnsiTheme="majorBidi" w:cstheme="majorBidi"/>
          <w:sz w:val="24"/>
          <w:szCs w:val="24"/>
        </w:rPr>
        <w:t>). Stomach cancer is known as the fourth most common cancer in Iran and</w:t>
      </w:r>
      <w:r w:rsidR="00EA11F3">
        <w:rPr>
          <w:rFonts w:asciiTheme="majorBidi" w:hAnsiTheme="majorBidi" w:cstheme="majorBidi"/>
          <w:sz w:val="24"/>
          <w:szCs w:val="24"/>
        </w:rPr>
        <w:t xml:space="preserve"> </w:t>
      </w:r>
      <w:r w:rsidR="00EB005D" w:rsidRPr="004B48E1">
        <w:rPr>
          <w:rFonts w:asciiTheme="majorBidi" w:hAnsiTheme="majorBidi" w:cstheme="majorBidi"/>
          <w:sz w:val="24"/>
          <w:szCs w:val="24"/>
        </w:rPr>
        <w:t>One of the factors associated with cancer death</w:t>
      </w:r>
      <w:r w:rsidR="00C0336B" w:rsidRPr="004B48E1">
        <w:rPr>
          <w:rFonts w:asciiTheme="majorBidi" w:hAnsiTheme="majorBidi" w:cstheme="majorBidi"/>
          <w:sz w:val="24"/>
          <w:szCs w:val="24"/>
        </w:rPr>
        <w:t xml:space="preserve"> in Iran</w:t>
      </w:r>
      <w:r w:rsidR="00EB005D" w:rsidRPr="004B48E1">
        <w:rPr>
          <w:rFonts w:asciiTheme="majorBidi" w:hAnsiTheme="majorBidi" w:cstheme="majorBidi"/>
          <w:sz w:val="24"/>
          <w:szCs w:val="24"/>
        </w:rPr>
        <w:t>(5</w:t>
      </w:r>
      <w:r w:rsidR="00C0336B" w:rsidRPr="004B48E1">
        <w:rPr>
          <w:rFonts w:asciiTheme="majorBidi" w:hAnsiTheme="majorBidi" w:cstheme="majorBidi"/>
          <w:sz w:val="24"/>
          <w:szCs w:val="24"/>
        </w:rPr>
        <w:t xml:space="preserve">).  </w:t>
      </w:r>
      <w:r w:rsidR="003A7099" w:rsidRPr="004B48E1">
        <w:rPr>
          <w:rFonts w:asciiTheme="majorBidi" w:hAnsiTheme="majorBidi" w:cstheme="majorBidi"/>
          <w:sz w:val="24"/>
          <w:szCs w:val="24"/>
        </w:rPr>
        <w:t>Based on the results of the studies</w:t>
      </w:r>
      <w:r w:rsidR="00EA11F3" w:rsidRPr="004B48E1">
        <w:rPr>
          <w:rFonts w:asciiTheme="majorBidi" w:hAnsiTheme="majorBidi" w:cstheme="majorBidi"/>
          <w:sz w:val="24"/>
          <w:szCs w:val="24"/>
        </w:rPr>
        <w:t>, The</w:t>
      </w:r>
      <w:r w:rsidR="003A7099" w:rsidRPr="004B48E1">
        <w:rPr>
          <w:rFonts w:asciiTheme="majorBidi" w:hAnsiTheme="majorBidi" w:cstheme="majorBidi"/>
          <w:sz w:val="24"/>
          <w:szCs w:val="24"/>
        </w:rPr>
        <w:t xml:space="preserve"> frequency and mortality of stomach cancer in the north and northwest regions of Iran are higher than other regions an</w:t>
      </w:r>
      <w:r w:rsidR="00EA11F3">
        <w:rPr>
          <w:rFonts w:asciiTheme="majorBidi" w:hAnsiTheme="majorBidi" w:cstheme="majorBidi"/>
          <w:sz w:val="24"/>
          <w:szCs w:val="24"/>
        </w:rPr>
        <w:t xml:space="preserve">d the statistics are increasing </w:t>
      </w:r>
      <w:r w:rsidR="003A7099" w:rsidRPr="004B48E1">
        <w:rPr>
          <w:rFonts w:asciiTheme="majorBidi" w:hAnsiTheme="majorBidi" w:cstheme="majorBidi"/>
          <w:sz w:val="24"/>
          <w:szCs w:val="24"/>
        </w:rPr>
        <w:t>(</w:t>
      </w:r>
      <w:r w:rsidR="00E47BA9" w:rsidRPr="004B48E1">
        <w:rPr>
          <w:rFonts w:asciiTheme="majorBidi" w:hAnsiTheme="majorBidi" w:cstheme="majorBidi"/>
          <w:sz w:val="24"/>
          <w:szCs w:val="24"/>
        </w:rPr>
        <w:t>5,6</w:t>
      </w:r>
      <w:r w:rsidR="003A7099" w:rsidRPr="004B48E1">
        <w:rPr>
          <w:rFonts w:asciiTheme="majorBidi" w:hAnsiTheme="majorBidi" w:cstheme="majorBidi"/>
          <w:sz w:val="24"/>
          <w:szCs w:val="24"/>
        </w:rPr>
        <w:t xml:space="preserve">). </w:t>
      </w:r>
    </w:p>
    <w:p w:rsidR="00F2464F" w:rsidRDefault="000D28E2" w:rsidP="00F2464F">
      <w:pPr>
        <w:spacing w:after="0" w:line="360" w:lineRule="auto"/>
        <w:jc w:val="both"/>
        <w:rPr>
          <w:rFonts w:asciiTheme="majorBidi" w:hAnsiTheme="majorBidi" w:cstheme="majorBidi"/>
          <w:sz w:val="24"/>
          <w:szCs w:val="24"/>
        </w:rPr>
      </w:pPr>
      <w:r w:rsidRPr="009A1A98">
        <w:rPr>
          <w:rFonts w:ascii="Times New Roman" w:hAnsi="Times New Roman" w:cs="Times New Roman"/>
          <w:sz w:val="24"/>
          <w:szCs w:val="24"/>
          <w:lang w:bidi="fa-IR"/>
        </w:rPr>
        <w:t>The most important and common cause of gastric cancer is excessive consumption of salt, smoking, presence of nitrosamines in food and drinking water for a long time, as well as microbial infections, such as Helicobacter pylori and certain viruses, including the human papillomavirus (HPV)</w:t>
      </w:r>
      <w:r>
        <w:rPr>
          <w:rFonts w:asciiTheme="majorBidi" w:hAnsiTheme="majorBidi" w:cstheme="majorBidi"/>
          <w:sz w:val="24"/>
          <w:szCs w:val="24"/>
        </w:rPr>
        <w:t xml:space="preserve"> </w:t>
      </w:r>
      <w:r w:rsidR="00E47BA9" w:rsidRPr="004B48E1">
        <w:rPr>
          <w:rFonts w:asciiTheme="majorBidi" w:hAnsiTheme="majorBidi" w:cstheme="majorBidi"/>
          <w:sz w:val="24"/>
          <w:szCs w:val="24"/>
        </w:rPr>
        <w:t>(7).</w:t>
      </w:r>
      <w:r>
        <w:rPr>
          <w:rFonts w:asciiTheme="majorBidi" w:hAnsiTheme="majorBidi" w:cstheme="majorBidi"/>
          <w:sz w:val="24"/>
          <w:szCs w:val="24"/>
        </w:rPr>
        <w:t xml:space="preserve"> </w:t>
      </w:r>
      <w:r w:rsidR="001005FC" w:rsidRPr="004B48E1">
        <w:rPr>
          <w:rFonts w:asciiTheme="majorBidi" w:hAnsiTheme="majorBidi" w:cstheme="majorBidi"/>
          <w:sz w:val="24"/>
          <w:szCs w:val="24"/>
        </w:rPr>
        <w:t>Globally, 4.5% of all cancers are attributable to HPVs, which are responsible for 8.6% of cancer cases in women (the third most prevalent cause, with a high mortality) and 0.8% in men (</w:t>
      </w:r>
      <w:r w:rsidR="00E47BA9" w:rsidRPr="004B48E1">
        <w:rPr>
          <w:rFonts w:asciiTheme="majorBidi" w:hAnsiTheme="majorBidi" w:cstheme="majorBidi"/>
          <w:sz w:val="24"/>
          <w:szCs w:val="24"/>
        </w:rPr>
        <w:t>8</w:t>
      </w:r>
      <w:r w:rsidR="001005FC" w:rsidRPr="004B48E1">
        <w:rPr>
          <w:rFonts w:asciiTheme="majorBidi" w:hAnsiTheme="majorBidi" w:cstheme="majorBidi"/>
          <w:sz w:val="24"/>
          <w:szCs w:val="24"/>
        </w:rPr>
        <w:t xml:space="preserve">). </w:t>
      </w:r>
      <w:r w:rsidR="001E417D" w:rsidRPr="004B48E1">
        <w:rPr>
          <w:rFonts w:asciiTheme="majorBidi" w:hAnsiTheme="majorBidi" w:cstheme="majorBidi"/>
          <w:sz w:val="24"/>
          <w:szCs w:val="24"/>
        </w:rPr>
        <w:t>The human papillomavirus (HPV) is a non</w:t>
      </w:r>
      <w:r>
        <w:rPr>
          <w:rFonts w:asciiTheme="majorBidi" w:hAnsiTheme="majorBidi" w:cstheme="majorBidi"/>
          <w:sz w:val="24"/>
          <w:szCs w:val="24"/>
        </w:rPr>
        <w:t xml:space="preserve"> </w:t>
      </w:r>
      <w:r w:rsidR="001E417D" w:rsidRPr="004B48E1">
        <w:rPr>
          <w:rFonts w:asciiTheme="majorBidi" w:hAnsiTheme="majorBidi" w:cstheme="majorBidi"/>
          <w:sz w:val="24"/>
          <w:szCs w:val="24"/>
        </w:rPr>
        <w:t>enveloped, double-stranded DNA virus</w:t>
      </w:r>
      <w:r w:rsidR="008402BC">
        <w:rPr>
          <w:rFonts w:asciiTheme="majorBidi" w:hAnsiTheme="majorBidi" w:cstheme="majorBidi"/>
          <w:sz w:val="24"/>
          <w:szCs w:val="24"/>
        </w:rPr>
        <w:t>,</w:t>
      </w:r>
      <w:r>
        <w:rPr>
          <w:rFonts w:asciiTheme="majorBidi" w:hAnsiTheme="majorBidi" w:cstheme="majorBidi"/>
          <w:sz w:val="24"/>
          <w:szCs w:val="24"/>
        </w:rPr>
        <w:t xml:space="preserve"> </w:t>
      </w:r>
      <w:r w:rsidR="00424C87" w:rsidRPr="004B48E1">
        <w:rPr>
          <w:rFonts w:asciiTheme="majorBidi" w:hAnsiTheme="majorBidi" w:cstheme="majorBidi"/>
          <w:sz w:val="24"/>
          <w:szCs w:val="24"/>
        </w:rPr>
        <w:t>relatively small virus with a genome of 8,000 bp</w:t>
      </w:r>
      <w:r w:rsidR="008402BC">
        <w:rPr>
          <w:rFonts w:asciiTheme="majorBidi" w:hAnsiTheme="majorBidi" w:cstheme="majorBidi"/>
          <w:sz w:val="24"/>
          <w:szCs w:val="24"/>
        </w:rPr>
        <w:t xml:space="preserve"> </w:t>
      </w:r>
      <w:r w:rsidR="001E417D" w:rsidRPr="004B48E1">
        <w:rPr>
          <w:rFonts w:asciiTheme="majorBidi" w:hAnsiTheme="majorBidi" w:cstheme="majorBidi"/>
          <w:sz w:val="24"/>
          <w:szCs w:val="24"/>
        </w:rPr>
        <w:t>and the most common sexually transmitted infection worldwide</w:t>
      </w:r>
      <w:r w:rsidR="00424C87" w:rsidRPr="004B48E1">
        <w:rPr>
          <w:rFonts w:asciiTheme="majorBidi" w:hAnsiTheme="majorBidi" w:cstheme="majorBidi"/>
          <w:sz w:val="24"/>
          <w:szCs w:val="24"/>
        </w:rPr>
        <w:t>(</w:t>
      </w:r>
      <w:r w:rsidR="00E47BA9" w:rsidRPr="004B48E1">
        <w:rPr>
          <w:rFonts w:asciiTheme="majorBidi" w:hAnsiTheme="majorBidi" w:cstheme="majorBidi"/>
          <w:sz w:val="24"/>
          <w:szCs w:val="24"/>
        </w:rPr>
        <w:t>9</w:t>
      </w:r>
      <w:r w:rsidR="008402BC">
        <w:rPr>
          <w:rFonts w:asciiTheme="majorBidi" w:hAnsiTheme="majorBidi" w:cstheme="majorBidi"/>
          <w:sz w:val="24"/>
          <w:szCs w:val="24"/>
        </w:rPr>
        <w:t>,10</w:t>
      </w:r>
      <w:r w:rsidR="00424C87" w:rsidRPr="004B48E1">
        <w:rPr>
          <w:rFonts w:asciiTheme="majorBidi" w:hAnsiTheme="majorBidi" w:cstheme="majorBidi"/>
          <w:sz w:val="24"/>
          <w:szCs w:val="24"/>
        </w:rPr>
        <w:t>)</w:t>
      </w:r>
      <w:r w:rsidR="001E417D" w:rsidRPr="004B48E1">
        <w:rPr>
          <w:rFonts w:asciiTheme="majorBidi" w:hAnsiTheme="majorBidi" w:cstheme="majorBidi"/>
          <w:sz w:val="24"/>
          <w:szCs w:val="24"/>
        </w:rPr>
        <w:t xml:space="preserve">. </w:t>
      </w:r>
      <w:r w:rsidR="00442196" w:rsidRPr="004B48E1">
        <w:rPr>
          <w:rFonts w:asciiTheme="majorBidi" w:hAnsiTheme="majorBidi" w:cstheme="majorBidi"/>
          <w:sz w:val="24"/>
          <w:szCs w:val="24"/>
        </w:rPr>
        <w:t>HPVs are divided into five genera (alpha, beta, gamma, mu, and nu) based on the L1 protein; these genera contain more than 200 types distributed differently across geographic area</w:t>
      </w:r>
      <w:r w:rsidR="00424C87" w:rsidRPr="004B48E1">
        <w:rPr>
          <w:rFonts w:asciiTheme="majorBidi" w:hAnsiTheme="majorBidi" w:cstheme="majorBidi"/>
          <w:sz w:val="24"/>
          <w:szCs w:val="24"/>
        </w:rPr>
        <w:t xml:space="preserve"> (</w:t>
      </w:r>
      <w:r w:rsidR="003E4AD4" w:rsidRPr="004B48E1">
        <w:rPr>
          <w:rFonts w:asciiTheme="majorBidi" w:hAnsiTheme="majorBidi" w:cstheme="majorBidi"/>
          <w:sz w:val="24"/>
          <w:szCs w:val="24"/>
        </w:rPr>
        <w:t>11</w:t>
      </w:r>
      <w:r w:rsidR="00424C87" w:rsidRPr="004B48E1">
        <w:rPr>
          <w:rFonts w:asciiTheme="majorBidi" w:hAnsiTheme="majorBidi" w:cstheme="majorBidi"/>
          <w:sz w:val="24"/>
          <w:szCs w:val="24"/>
        </w:rPr>
        <w:t>)</w:t>
      </w:r>
      <w:r w:rsidR="008402BC">
        <w:rPr>
          <w:rFonts w:asciiTheme="majorBidi" w:hAnsiTheme="majorBidi" w:cstheme="majorBidi"/>
          <w:sz w:val="24"/>
          <w:szCs w:val="24"/>
        </w:rPr>
        <w:t>.</w:t>
      </w:r>
      <w:r w:rsidR="00424C87" w:rsidRPr="004B48E1">
        <w:rPr>
          <w:rFonts w:asciiTheme="majorBidi" w:hAnsiTheme="majorBidi" w:cstheme="majorBidi"/>
          <w:sz w:val="24"/>
          <w:szCs w:val="24"/>
        </w:rPr>
        <w:t xml:space="preserve"> </w:t>
      </w:r>
      <w:r w:rsidR="001005FC" w:rsidRPr="004B48E1">
        <w:rPr>
          <w:rFonts w:asciiTheme="majorBidi" w:hAnsiTheme="majorBidi" w:cstheme="majorBidi"/>
          <w:sz w:val="24"/>
          <w:szCs w:val="24"/>
        </w:rPr>
        <w:t>Also</w:t>
      </w:r>
      <w:r w:rsidR="003E4AD4" w:rsidRPr="004B48E1">
        <w:rPr>
          <w:rFonts w:asciiTheme="majorBidi" w:hAnsiTheme="majorBidi" w:cstheme="majorBidi"/>
          <w:sz w:val="24"/>
          <w:szCs w:val="24"/>
        </w:rPr>
        <w:t>,</w:t>
      </w:r>
      <w:r w:rsidR="008402BC">
        <w:rPr>
          <w:rFonts w:asciiTheme="majorBidi" w:hAnsiTheme="majorBidi" w:cstheme="majorBidi"/>
          <w:sz w:val="24"/>
          <w:szCs w:val="24"/>
        </w:rPr>
        <w:t xml:space="preserve"> </w:t>
      </w:r>
      <w:r w:rsidR="00755F0B" w:rsidRPr="004B48E1">
        <w:rPr>
          <w:rFonts w:asciiTheme="majorBidi" w:hAnsiTheme="majorBidi" w:cstheme="majorBidi"/>
          <w:sz w:val="24"/>
          <w:szCs w:val="24"/>
        </w:rPr>
        <w:t>HPV</w:t>
      </w:r>
      <w:r w:rsidR="001005FC" w:rsidRPr="004B48E1">
        <w:rPr>
          <w:rFonts w:asciiTheme="majorBidi" w:hAnsiTheme="majorBidi" w:cstheme="majorBidi"/>
          <w:sz w:val="24"/>
          <w:szCs w:val="24"/>
        </w:rPr>
        <w:t>s</w:t>
      </w:r>
      <w:r w:rsidR="00755F0B" w:rsidRPr="004B48E1">
        <w:rPr>
          <w:rFonts w:asciiTheme="majorBidi" w:hAnsiTheme="majorBidi" w:cstheme="majorBidi"/>
          <w:sz w:val="24"/>
          <w:szCs w:val="24"/>
        </w:rPr>
        <w:t xml:space="preserve"> classified as high-risk (HR-HPV)</w:t>
      </w:r>
      <w:r w:rsidR="001B271E" w:rsidRPr="004B48E1">
        <w:rPr>
          <w:rFonts w:asciiTheme="majorBidi" w:hAnsiTheme="majorBidi" w:cstheme="majorBidi"/>
          <w:sz w:val="24"/>
          <w:szCs w:val="24"/>
        </w:rPr>
        <w:t xml:space="preserve"> such as 16,18,31 and 45</w:t>
      </w:r>
      <w:r w:rsidR="00755F0B" w:rsidRPr="004B48E1">
        <w:rPr>
          <w:rFonts w:asciiTheme="majorBidi" w:hAnsiTheme="majorBidi" w:cstheme="majorBidi"/>
          <w:sz w:val="24"/>
          <w:szCs w:val="24"/>
        </w:rPr>
        <w:t>,</w:t>
      </w:r>
      <w:r w:rsidR="00560B4B" w:rsidRPr="004B48E1">
        <w:rPr>
          <w:rFonts w:asciiTheme="majorBidi" w:hAnsiTheme="majorBidi" w:cstheme="majorBidi"/>
          <w:sz w:val="24"/>
          <w:szCs w:val="24"/>
        </w:rPr>
        <w:t>Because of their association with an increased risk of malignancies,</w:t>
      </w:r>
      <w:r w:rsidR="00755F0B" w:rsidRPr="004B48E1">
        <w:rPr>
          <w:rFonts w:asciiTheme="majorBidi" w:hAnsiTheme="majorBidi" w:cstheme="majorBidi"/>
          <w:sz w:val="24"/>
          <w:szCs w:val="24"/>
        </w:rPr>
        <w:t xml:space="preserve"> including cervical, anal, and pharyngeal cancers, whereas others classified as low-risk (LR- HPV)</w:t>
      </w:r>
      <w:r w:rsidR="001B271E" w:rsidRPr="004B48E1">
        <w:rPr>
          <w:rFonts w:asciiTheme="majorBidi" w:hAnsiTheme="majorBidi" w:cstheme="majorBidi"/>
          <w:sz w:val="24"/>
          <w:szCs w:val="24"/>
        </w:rPr>
        <w:t xml:space="preserve"> as 6, 11 </w:t>
      </w:r>
      <w:r w:rsidR="00755F0B" w:rsidRPr="004B48E1">
        <w:rPr>
          <w:rFonts w:asciiTheme="majorBidi" w:hAnsiTheme="majorBidi" w:cstheme="majorBidi"/>
          <w:sz w:val="24"/>
          <w:szCs w:val="24"/>
        </w:rPr>
        <w:t>typical</w:t>
      </w:r>
      <w:r w:rsidR="00CA6ED2">
        <w:rPr>
          <w:rFonts w:asciiTheme="majorBidi" w:hAnsiTheme="majorBidi" w:cstheme="majorBidi"/>
          <w:sz w:val="24"/>
          <w:szCs w:val="24"/>
        </w:rPr>
        <w:t>ly causing benign genital warts</w:t>
      </w:r>
      <w:r w:rsidR="00755F0B" w:rsidRPr="004B48E1">
        <w:rPr>
          <w:rFonts w:asciiTheme="majorBidi" w:hAnsiTheme="majorBidi" w:cstheme="majorBidi"/>
          <w:sz w:val="24"/>
          <w:szCs w:val="24"/>
        </w:rPr>
        <w:t xml:space="preserve"> (</w:t>
      </w:r>
      <w:r w:rsidR="003E4AD4" w:rsidRPr="004B48E1">
        <w:rPr>
          <w:rFonts w:asciiTheme="majorBidi" w:hAnsiTheme="majorBidi" w:cstheme="majorBidi"/>
          <w:sz w:val="24"/>
          <w:szCs w:val="24"/>
        </w:rPr>
        <w:t>9,12</w:t>
      </w:r>
      <w:r w:rsidR="00755F0B" w:rsidRPr="004B48E1">
        <w:rPr>
          <w:rFonts w:asciiTheme="majorBidi" w:hAnsiTheme="majorBidi" w:cstheme="majorBidi"/>
          <w:sz w:val="24"/>
          <w:szCs w:val="24"/>
        </w:rPr>
        <w:t>).</w:t>
      </w:r>
      <w:r w:rsidR="00CA6ED2">
        <w:rPr>
          <w:rFonts w:asciiTheme="majorBidi" w:hAnsiTheme="majorBidi" w:cstheme="majorBidi"/>
          <w:sz w:val="24"/>
          <w:szCs w:val="24"/>
        </w:rPr>
        <w:t xml:space="preserve"> </w:t>
      </w:r>
      <w:r w:rsidR="0092605B" w:rsidRPr="004B48E1">
        <w:rPr>
          <w:rFonts w:asciiTheme="majorBidi" w:hAnsiTheme="majorBidi" w:cstheme="majorBidi"/>
          <w:sz w:val="24"/>
          <w:szCs w:val="24"/>
        </w:rPr>
        <w:t>HPV infection occurs  in both cutaneous and mucosal epithelium (</w:t>
      </w:r>
      <w:r w:rsidR="003E4AD4" w:rsidRPr="004B48E1">
        <w:rPr>
          <w:rFonts w:asciiTheme="majorBidi" w:hAnsiTheme="majorBidi" w:cstheme="majorBidi"/>
          <w:sz w:val="24"/>
          <w:szCs w:val="24"/>
        </w:rPr>
        <w:t>13</w:t>
      </w:r>
      <w:r w:rsidR="0092605B" w:rsidRPr="004B48E1">
        <w:rPr>
          <w:rFonts w:asciiTheme="majorBidi" w:hAnsiTheme="majorBidi" w:cstheme="majorBidi"/>
          <w:sz w:val="24"/>
          <w:szCs w:val="24"/>
        </w:rPr>
        <w:t>) and</w:t>
      </w:r>
      <w:r w:rsidR="00CA6ED2">
        <w:rPr>
          <w:rFonts w:asciiTheme="majorBidi" w:hAnsiTheme="majorBidi" w:cstheme="majorBidi"/>
          <w:sz w:val="24"/>
          <w:szCs w:val="24"/>
        </w:rPr>
        <w:t xml:space="preserve"> </w:t>
      </w:r>
      <w:r w:rsidR="001005FC" w:rsidRPr="004B48E1">
        <w:rPr>
          <w:rFonts w:asciiTheme="majorBidi" w:hAnsiTheme="majorBidi" w:cstheme="majorBidi"/>
          <w:sz w:val="24"/>
          <w:szCs w:val="24"/>
        </w:rPr>
        <w:t>can be persistent and carcinogenic through integration of viral DNA into the host genome, causing increased expression of cellular oncogenes, viral promotion of DNA damage, chromosomal instability, and disruption of cellular processes by viral proteins</w:t>
      </w:r>
      <w:r w:rsidR="00CF2A1B" w:rsidRPr="004B48E1">
        <w:rPr>
          <w:rFonts w:asciiTheme="majorBidi" w:hAnsiTheme="majorBidi" w:cstheme="majorBidi"/>
          <w:sz w:val="24"/>
          <w:szCs w:val="24"/>
        </w:rPr>
        <w:t xml:space="preserve"> (3,14)</w:t>
      </w:r>
      <w:r w:rsidR="001B271E" w:rsidRPr="004B48E1">
        <w:rPr>
          <w:rFonts w:asciiTheme="majorBidi" w:hAnsiTheme="majorBidi" w:cstheme="majorBidi"/>
          <w:sz w:val="24"/>
          <w:szCs w:val="24"/>
        </w:rPr>
        <w:t>.</w:t>
      </w:r>
      <w:r w:rsidR="00646E1D" w:rsidRPr="004B48E1">
        <w:rPr>
          <w:rFonts w:asciiTheme="majorBidi" w:hAnsiTheme="majorBidi" w:cstheme="majorBidi"/>
          <w:sz w:val="24"/>
          <w:szCs w:val="24"/>
        </w:rPr>
        <w:t xml:space="preserve"> The major viral proteins that cause carcinogenesis are E6 and E7</w:t>
      </w:r>
      <w:r w:rsidR="00836DA6" w:rsidRPr="004B48E1">
        <w:rPr>
          <w:rFonts w:asciiTheme="majorBidi" w:hAnsiTheme="majorBidi" w:cstheme="majorBidi"/>
          <w:sz w:val="24"/>
          <w:szCs w:val="24"/>
        </w:rPr>
        <w:t xml:space="preserve"> inhibit tumor suppressors such as p53 and pRb which regulate the cell cycle and apoptosis, respectively, leading to an elevated risk of cancer development (</w:t>
      </w:r>
      <w:r w:rsidR="003E4AD4" w:rsidRPr="004B48E1">
        <w:rPr>
          <w:rFonts w:asciiTheme="majorBidi" w:hAnsiTheme="majorBidi" w:cstheme="majorBidi"/>
          <w:sz w:val="24"/>
          <w:szCs w:val="24"/>
        </w:rPr>
        <w:t>10,11</w:t>
      </w:r>
      <w:r w:rsidR="002A127E" w:rsidRPr="004B48E1">
        <w:rPr>
          <w:rFonts w:asciiTheme="majorBidi" w:hAnsiTheme="majorBidi" w:cstheme="majorBidi"/>
          <w:sz w:val="24"/>
          <w:szCs w:val="24"/>
        </w:rPr>
        <w:t>)</w:t>
      </w:r>
      <w:r w:rsidR="007F381E" w:rsidRPr="004B48E1">
        <w:rPr>
          <w:rFonts w:asciiTheme="majorBidi" w:hAnsiTheme="majorBidi" w:cstheme="majorBidi"/>
          <w:sz w:val="24"/>
          <w:szCs w:val="24"/>
        </w:rPr>
        <w:t>.</w:t>
      </w:r>
    </w:p>
    <w:p w:rsidR="00F2464F" w:rsidRDefault="00C45CCE" w:rsidP="00F2464F">
      <w:pPr>
        <w:spacing w:after="0" w:line="360" w:lineRule="auto"/>
        <w:jc w:val="both"/>
        <w:rPr>
          <w:rFonts w:asciiTheme="majorBidi" w:hAnsiTheme="majorBidi" w:cstheme="majorBidi"/>
          <w:sz w:val="24"/>
          <w:szCs w:val="24"/>
        </w:rPr>
      </w:pPr>
      <w:r w:rsidRPr="004B48E1">
        <w:rPr>
          <w:rFonts w:asciiTheme="majorBidi" w:hAnsiTheme="majorBidi" w:cstheme="majorBidi"/>
          <w:sz w:val="24"/>
          <w:szCs w:val="24"/>
        </w:rPr>
        <w:t>Numerous studies have been conducted on the role of p</w:t>
      </w:r>
      <w:r w:rsidR="00070B45" w:rsidRPr="004B48E1">
        <w:rPr>
          <w:rFonts w:asciiTheme="majorBidi" w:hAnsiTheme="majorBidi" w:cstheme="majorBidi"/>
          <w:sz w:val="24"/>
          <w:szCs w:val="24"/>
        </w:rPr>
        <w:t>apillomavirus in stomach cancer.</w:t>
      </w:r>
      <w:r w:rsidR="00CA6ED2">
        <w:rPr>
          <w:rFonts w:asciiTheme="majorBidi" w:hAnsiTheme="majorBidi" w:cstheme="majorBidi"/>
          <w:sz w:val="24"/>
          <w:szCs w:val="24"/>
        </w:rPr>
        <w:t xml:space="preserve"> </w:t>
      </w:r>
      <w:r w:rsidR="00A20190" w:rsidRPr="004B48E1">
        <w:rPr>
          <w:rFonts w:asciiTheme="majorBidi" w:hAnsiTheme="majorBidi" w:cstheme="majorBidi"/>
          <w:sz w:val="24"/>
          <w:szCs w:val="24"/>
        </w:rPr>
        <w:t>Kamangar et al (2006) conducted a large prospective study to examine the association between serum antibodies to HPV16, HPV18 and HPV73 and subsequent development of esophageal squamous cell carcinoma</w:t>
      </w:r>
      <w:r w:rsidR="00CA6ED2">
        <w:rPr>
          <w:rFonts w:asciiTheme="majorBidi" w:hAnsiTheme="majorBidi" w:cstheme="majorBidi"/>
          <w:sz w:val="24"/>
          <w:szCs w:val="24"/>
        </w:rPr>
        <w:t xml:space="preserve"> </w:t>
      </w:r>
      <w:r w:rsidR="00A20190" w:rsidRPr="004B48E1">
        <w:rPr>
          <w:rFonts w:asciiTheme="majorBidi" w:hAnsiTheme="majorBidi" w:cstheme="majorBidi"/>
          <w:sz w:val="24"/>
          <w:szCs w:val="24"/>
        </w:rPr>
        <w:t>(ESCC),</w:t>
      </w:r>
      <w:r w:rsidR="00CA6ED2">
        <w:rPr>
          <w:rFonts w:asciiTheme="majorBidi" w:hAnsiTheme="majorBidi" w:cstheme="majorBidi"/>
          <w:sz w:val="24"/>
          <w:szCs w:val="24"/>
        </w:rPr>
        <w:t xml:space="preserve"> </w:t>
      </w:r>
      <w:r w:rsidR="00A20190" w:rsidRPr="004B48E1">
        <w:rPr>
          <w:rFonts w:asciiTheme="majorBidi" w:hAnsiTheme="majorBidi" w:cstheme="majorBidi"/>
          <w:sz w:val="24"/>
          <w:szCs w:val="24"/>
        </w:rPr>
        <w:t>gastric cardia</w:t>
      </w:r>
      <w:r w:rsidR="00722B88">
        <w:rPr>
          <w:rFonts w:asciiTheme="majorBidi" w:hAnsiTheme="majorBidi" w:cstheme="majorBidi"/>
          <w:sz w:val="24"/>
          <w:szCs w:val="24"/>
        </w:rPr>
        <w:t xml:space="preserve"> a</w:t>
      </w:r>
      <w:r w:rsidR="00A20190" w:rsidRPr="004B48E1">
        <w:rPr>
          <w:rFonts w:asciiTheme="majorBidi" w:hAnsiTheme="majorBidi" w:cstheme="majorBidi"/>
          <w:sz w:val="24"/>
          <w:szCs w:val="24"/>
        </w:rPr>
        <w:t xml:space="preserve">denocarcinoma (GCA), and gastric noncardia </w:t>
      </w:r>
      <w:r w:rsidR="00A20190" w:rsidRPr="004B48E1">
        <w:rPr>
          <w:rFonts w:asciiTheme="majorBidi" w:hAnsiTheme="majorBidi" w:cstheme="majorBidi"/>
          <w:sz w:val="24"/>
          <w:szCs w:val="24"/>
        </w:rPr>
        <w:lastRenderedPageBreak/>
        <w:t>adenocarcinoma</w:t>
      </w:r>
      <w:r w:rsidR="004C5AD1">
        <w:rPr>
          <w:rFonts w:asciiTheme="majorBidi" w:hAnsiTheme="majorBidi" w:cstheme="majorBidi"/>
          <w:sz w:val="24"/>
          <w:szCs w:val="24"/>
        </w:rPr>
        <w:t xml:space="preserve"> </w:t>
      </w:r>
      <w:r w:rsidR="00A20190" w:rsidRPr="004B48E1">
        <w:rPr>
          <w:rFonts w:asciiTheme="majorBidi" w:hAnsiTheme="majorBidi" w:cstheme="majorBidi"/>
          <w:sz w:val="24"/>
          <w:szCs w:val="24"/>
        </w:rPr>
        <w:t>(GNCA) in a high-risk population for these cancers in Linxian, China. Fewer than 15% of ESCC, GCA</w:t>
      </w:r>
      <w:r w:rsidR="004C5AD1">
        <w:rPr>
          <w:rFonts w:asciiTheme="majorBidi" w:hAnsiTheme="majorBidi" w:cstheme="majorBidi"/>
          <w:sz w:val="24"/>
          <w:szCs w:val="24"/>
        </w:rPr>
        <w:t xml:space="preserve"> and </w:t>
      </w:r>
      <w:r w:rsidR="00A20190" w:rsidRPr="004B48E1">
        <w:rPr>
          <w:rFonts w:asciiTheme="majorBidi" w:hAnsiTheme="majorBidi" w:cstheme="majorBidi"/>
          <w:sz w:val="24"/>
          <w:szCs w:val="24"/>
        </w:rPr>
        <w:t>GNCA cases were positive for each HPV type and no significant associations were found (</w:t>
      </w:r>
      <w:r w:rsidR="00CF2A1B" w:rsidRPr="004B48E1">
        <w:rPr>
          <w:rFonts w:asciiTheme="majorBidi" w:hAnsiTheme="majorBidi" w:cstheme="majorBidi"/>
          <w:sz w:val="24"/>
          <w:szCs w:val="24"/>
        </w:rPr>
        <w:t>15</w:t>
      </w:r>
      <w:r w:rsidR="00A20190" w:rsidRPr="004B48E1">
        <w:rPr>
          <w:rFonts w:asciiTheme="majorBidi" w:hAnsiTheme="majorBidi" w:cstheme="majorBidi"/>
          <w:sz w:val="24"/>
          <w:szCs w:val="24"/>
        </w:rPr>
        <w:t>)</w:t>
      </w:r>
      <w:r w:rsidR="004C5AD1">
        <w:rPr>
          <w:rFonts w:asciiTheme="majorBidi" w:hAnsiTheme="majorBidi" w:cstheme="majorBidi"/>
          <w:sz w:val="24"/>
          <w:szCs w:val="24"/>
        </w:rPr>
        <w:t xml:space="preserve">. </w:t>
      </w:r>
    </w:p>
    <w:p w:rsidR="00F2464F" w:rsidRDefault="00033E63" w:rsidP="00F2464F">
      <w:pPr>
        <w:spacing w:after="0" w:line="360" w:lineRule="auto"/>
        <w:jc w:val="both"/>
        <w:rPr>
          <w:rFonts w:asciiTheme="majorBidi" w:hAnsiTheme="majorBidi" w:cstheme="majorBidi"/>
          <w:sz w:val="24"/>
          <w:szCs w:val="24"/>
        </w:rPr>
      </w:pPr>
      <w:r w:rsidRPr="004B48E1">
        <w:rPr>
          <w:rFonts w:asciiTheme="majorBidi" w:hAnsiTheme="majorBidi" w:cstheme="majorBidi"/>
          <w:sz w:val="24"/>
          <w:szCs w:val="24"/>
        </w:rPr>
        <w:t>In a study by</w:t>
      </w:r>
      <w:r w:rsidR="004C5AD1">
        <w:rPr>
          <w:rFonts w:asciiTheme="majorBidi" w:hAnsiTheme="majorBidi" w:cstheme="majorBidi"/>
          <w:sz w:val="24"/>
          <w:szCs w:val="24"/>
        </w:rPr>
        <w:t xml:space="preserve"> </w:t>
      </w:r>
      <w:r w:rsidRPr="004B48E1">
        <w:rPr>
          <w:rFonts w:asciiTheme="majorBidi" w:hAnsiTheme="majorBidi" w:cstheme="majorBidi"/>
          <w:sz w:val="24"/>
          <w:szCs w:val="24"/>
        </w:rPr>
        <w:t xml:space="preserve">Xiao-yan and et al (2013), Gastric mucosa tissue was collected from patients with </w:t>
      </w:r>
      <w:r w:rsidR="004C5AD1" w:rsidRPr="004B48E1">
        <w:rPr>
          <w:rFonts w:asciiTheme="majorBidi" w:hAnsiTheme="majorBidi" w:cstheme="majorBidi"/>
          <w:sz w:val="24"/>
          <w:szCs w:val="24"/>
        </w:rPr>
        <w:t>gastro duodenal</w:t>
      </w:r>
      <w:r w:rsidRPr="004B48E1">
        <w:rPr>
          <w:rFonts w:asciiTheme="majorBidi" w:hAnsiTheme="majorBidi" w:cstheme="majorBidi"/>
          <w:sz w:val="24"/>
          <w:szCs w:val="24"/>
        </w:rPr>
        <w:t xml:space="preserve"> diseases in a region of </w:t>
      </w:r>
      <w:r w:rsidR="004C5AD1" w:rsidRPr="004B48E1">
        <w:rPr>
          <w:rFonts w:asciiTheme="majorBidi" w:hAnsiTheme="majorBidi" w:cstheme="majorBidi"/>
          <w:sz w:val="24"/>
          <w:szCs w:val="24"/>
        </w:rPr>
        <w:t>northeastern</w:t>
      </w:r>
      <w:r w:rsidRPr="004B48E1">
        <w:rPr>
          <w:rFonts w:asciiTheme="majorBidi" w:hAnsiTheme="majorBidi" w:cstheme="majorBidi"/>
          <w:sz w:val="24"/>
          <w:szCs w:val="24"/>
        </w:rPr>
        <w:t xml:space="preserve"> China showing a high risk of gastric cancer incidence. The presence of HPV were assayed to investigate the relationship between gastric carcinomas and virus infection. (</w:t>
      </w:r>
      <w:r w:rsidR="00CF2A1B" w:rsidRPr="004B48E1">
        <w:rPr>
          <w:rFonts w:asciiTheme="majorBidi" w:hAnsiTheme="majorBidi" w:cstheme="majorBidi"/>
          <w:sz w:val="24"/>
          <w:szCs w:val="24"/>
        </w:rPr>
        <w:t>16</w:t>
      </w:r>
      <w:r w:rsidRPr="004B48E1">
        <w:rPr>
          <w:rFonts w:asciiTheme="majorBidi" w:hAnsiTheme="majorBidi" w:cstheme="majorBidi"/>
          <w:sz w:val="24"/>
          <w:szCs w:val="24"/>
        </w:rPr>
        <w:t xml:space="preserve">). </w:t>
      </w:r>
      <w:r w:rsidR="00F2464F" w:rsidRPr="004B48E1">
        <w:rPr>
          <w:rFonts w:asciiTheme="majorBidi" w:hAnsiTheme="majorBidi" w:cstheme="majorBidi"/>
          <w:sz w:val="24"/>
          <w:szCs w:val="24"/>
        </w:rPr>
        <w:t>C</w:t>
      </w:r>
      <w:r w:rsidR="00F2464F">
        <w:rPr>
          <w:rFonts w:asciiTheme="majorBidi" w:hAnsiTheme="majorBidi" w:cstheme="majorBidi"/>
          <w:sz w:val="24"/>
          <w:szCs w:val="24"/>
        </w:rPr>
        <w:t>a</w:t>
      </w:r>
      <w:r w:rsidR="00F2464F" w:rsidRPr="004B48E1">
        <w:rPr>
          <w:rFonts w:asciiTheme="majorBidi" w:hAnsiTheme="majorBidi" w:cstheme="majorBidi"/>
          <w:sz w:val="24"/>
          <w:szCs w:val="24"/>
        </w:rPr>
        <w:t>ndido and</w:t>
      </w:r>
      <w:r w:rsidR="007F381E" w:rsidRPr="004B48E1">
        <w:rPr>
          <w:rFonts w:asciiTheme="majorBidi" w:hAnsiTheme="majorBidi" w:cstheme="majorBidi"/>
          <w:sz w:val="24"/>
          <w:szCs w:val="24"/>
        </w:rPr>
        <w:t xml:space="preserve"> et al (2013) conducted a study on Forty paraffin samples of gastric cancer and 40 endoscopic normal mucosa and peripheral blood controls  To investigate the prevalence of human papillomavirus (HPV) in patients with gastric cancer and compare with a control group.</w:t>
      </w:r>
      <w:r w:rsidR="008252DE" w:rsidRPr="008252DE">
        <w:rPr>
          <w:rFonts w:asciiTheme="majorBidi" w:hAnsiTheme="majorBidi" w:cstheme="majorBidi"/>
          <w:sz w:val="24"/>
          <w:szCs w:val="24"/>
        </w:rPr>
        <w:t>The extracted DNA was amplified in 2 reaction systems using 2 pairs of primers: MY09/MY11 and GP+5/GP+6</w:t>
      </w:r>
      <w:r w:rsidR="008252DE">
        <w:rPr>
          <w:rFonts w:asciiTheme="majorBidi" w:hAnsiTheme="majorBidi" w:cstheme="majorBidi"/>
          <w:sz w:val="24"/>
          <w:szCs w:val="24"/>
        </w:rPr>
        <w:t>.</w:t>
      </w:r>
      <w:r w:rsidR="007F381E" w:rsidRPr="004B48E1">
        <w:rPr>
          <w:rFonts w:asciiTheme="majorBidi" w:hAnsiTheme="majorBidi" w:cstheme="majorBidi"/>
          <w:sz w:val="24"/>
          <w:szCs w:val="24"/>
        </w:rPr>
        <w:t xml:space="preserve"> HPV was found in 4 patients with gastric cancer and 10 patients without cancer. </w:t>
      </w:r>
      <w:r w:rsidR="00B35588" w:rsidRPr="004B48E1">
        <w:rPr>
          <w:rFonts w:asciiTheme="majorBidi" w:hAnsiTheme="majorBidi" w:cstheme="majorBidi"/>
          <w:sz w:val="24"/>
          <w:szCs w:val="24"/>
        </w:rPr>
        <w:t>Therefore,</w:t>
      </w:r>
      <w:r w:rsidR="007F381E" w:rsidRPr="004B48E1">
        <w:rPr>
          <w:rFonts w:asciiTheme="majorBidi" w:hAnsiTheme="majorBidi" w:cstheme="majorBidi"/>
          <w:sz w:val="24"/>
          <w:szCs w:val="24"/>
        </w:rPr>
        <w:t xml:space="preserve"> </w:t>
      </w:r>
      <w:r w:rsidR="00B35588" w:rsidRPr="004B48E1">
        <w:rPr>
          <w:rFonts w:asciiTheme="majorBidi" w:hAnsiTheme="majorBidi" w:cstheme="majorBidi"/>
          <w:sz w:val="24"/>
          <w:szCs w:val="24"/>
        </w:rPr>
        <w:t>there</w:t>
      </w:r>
      <w:r w:rsidR="007F381E" w:rsidRPr="004B48E1">
        <w:rPr>
          <w:rFonts w:asciiTheme="majorBidi" w:hAnsiTheme="majorBidi" w:cstheme="majorBidi"/>
          <w:sz w:val="24"/>
          <w:szCs w:val="24"/>
        </w:rPr>
        <w:t xml:space="preserve"> was no statistically significant difference between the </w:t>
      </w:r>
      <w:r w:rsidR="00B35588" w:rsidRPr="004B48E1">
        <w:rPr>
          <w:rFonts w:asciiTheme="majorBidi" w:hAnsiTheme="majorBidi" w:cstheme="majorBidi"/>
          <w:sz w:val="24"/>
          <w:szCs w:val="24"/>
        </w:rPr>
        <w:t>two</w:t>
      </w:r>
      <w:r w:rsidR="007F381E" w:rsidRPr="004B48E1">
        <w:rPr>
          <w:rFonts w:asciiTheme="majorBidi" w:hAnsiTheme="majorBidi" w:cstheme="majorBidi"/>
          <w:sz w:val="24"/>
          <w:szCs w:val="24"/>
        </w:rPr>
        <w:t xml:space="preserve"> samples (</w:t>
      </w:r>
      <w:r w:rsidR="00CF2A1B" w:rsidRPr="004B48E1">
        <w:rPr>
          <w:rFonts w:asciiTheme="majorBidi" w:hAnsiTheme="majorBidi" w:cstheme="majorBidi"/>
          <w:sz w:val="24"/>
          <w:szCs w:val="24"/>
        </w:rPr>
        <w:t>17</w:t>
      </w:r>
      <w:r w:rsidR="007F381E" w:rsidRPr="004B48E1">
        <w:rPr>
          <w:rFonts w:asciiTheme="majorBidi" w:hAnsiTheme="majorBidi" w:cstheme="majorBidi"/>
          <w:sz w:val="24"/>
          <w:szCs w:val="24"/>
        </w:rPr>
        <w:t xml:space="preserve">). </w:t>
      </w:r>
    </w:p>
    <w:p w:rsidR="008C3BC5" w:rsidRDefault="009A5A30" w:rsidP="00F2464F">
      <w:pPr>
        <w:spacing w:after="0" w:line="360" w:lineRule="auto"/>
        <w:jc w:val="both"/>
        <w:rPr>
          <w:rFonts w:asciiTheme="majorBidi" w:hAnsiTheme="majorBidi" w:cstheme="majorBidi"/>
          <w:sz w:val="24"/>
          <w:szCs w:val="24"/>
        </w:rPr>
      </w:pPr>
      <w:r w:rsidRPr="004B48E1">
        <w:rPr>
          <w:rFonts w:asciiTheme="majorBidi" w:hAnsiTheme="majorBidi" w:cstheme="majorBidi"/>
          <w:sz w:val="24"/>
          <w:szCs w:val="24"/>
        </w:rPr>
        <w:t>In a study by Rua Abdel Mogeeb Omer Mohamed and et al (2016) Collected 30 formalin fixed paraffin</w:t>
      </w:r>
      <w:r w:rsidR="00B35588">
        <w:rPr>
          <w:rFonts w:asciiTheme="majorBidi" w:hAnsiTheme="majorBidi" w:cstheme="majorBidi"/>
          <w:sz w:val="24"/>
          <w:szCs w:val="24"/>
        </w:rPr>
        <w:t xml:space="preserve"> </w:t>
      </w:r>
      <w:r w:rsidRPr="004B48E1">
        <w:rPr>
          <w:rFonts w:asciiTheme="majorBidi" w:hAnsiTheme="majorBidi" w:cstheme="majorBidi"/>
          <w:sz w:val="24"/>
          <w:szCs w:val="24"/>
        </w:rPr>
        <w:t>embedded blocks from patients with gastric tumors. The presence of HPV was determined using</w:t>
      </w:r>
      <w:r w:rsidR="00B35588">
        <w:rPr>
          <w:rFonts w:asciiTheme="majorBidi" w:hAnsiTheme="majorBidi" w:cstheme="majorBidi"/>
          <w:sz w:val="24"/>
          <w:szCs w:val="24"/>
        </w:rPr>
        <w:t xml:space="preserve"> </w:t>
      </w:r>
      <w:r w:rsidRPr="004B48E1">
        <w:rPr>
          <w:rFonts w:asciiTheme="majorBidi" w:hAnsiTheme="majorBidi" w:cstheme="majorBidi"/>
          <w:sz w:val="24"/>
          <w:szCs w:val="24"/>
        </w:rPr>
        <w:t>immunohistochemistry.  Among these only two samples (6.7%) were positive for HPV, while 28</w:t>
      </w:r>
      <w:r w:rsidR="00B35588">
        <w:rPr>
          <w:rFonts w:asciiTheme="majorBidi" w:hAnsiTheme="majorBidi" w:cstheme="majorBidi"/>
          <w:sz w:val="24"/>
          <w:szCs w:val="24"/>
        </w:rPr>
        <w:t xml:space="preserve"> samples </w:t>
      </w:r>
      <w:r w:rsidRPr="004B48E1">
        <w:rPr>
          <w:rFonts w:asciiTheme="majorBidi" w:hAnsiTheme="majorBidi" w:cstheme="majorBidi"/>
          <w:sz w:val="24"/>
          <w:szCs w:val="24"/>
        </w:rPr>
        <w:t xml:space="preserve">(93.3%) were negative. </w:t>
      </w:r>
      <w:r w:rsidR="00B35588" w:rsidRPr="004B48E1">
        <w:rPr>
          <w:rFonts w:asciiTheme="majorBidi" w:hAnsiTheme="majorBidi" w:cstheme="majorBidi"/>
          <w:sz w:val="24"/>
          <w:szCs w:val="24"/>
        </w:rPr>
        <w:t xml:space="preserve">The </w:t>
      </w:r>
      <w:r w:rsidRPr="004B48E1">
        <w:rPr>
          <w:rFonts w:asciiTheme="majorBidi" w:hAnsiTheme="majorBidi" w:cstheme="majorBidi"/>
          <w:sz w:val="24"/>
          <w:szCs w:val="24"/>
        </w:rPr>
        <w:t>pathogenic causative role of HPV infection in Sudanese patients with gastric cancer was not established</w:t>
      </w:r>
      <w:r w:rsidR="007F381E" w:rsidRPr="004B48E1">
        <w:rPr>
          <w:rFonts w:asciiTheme="majorBidi" w:hAnsiTheme="majorBidi" w:cstheme="majorBidi"/>
          <w:sz w:val="24"/>
          <w:szCs w:val="24"/>
        </w:rPr>
        <w:t xml:space="preserve"> (</w:t>
      </w:r>
      <w:r w:rsidR="00CB1EEA" w:rsidRPr="004B48E1">
        <w:rPr>
          <w:rFonts w:asciiTheme="majorBidi" w:hAnsiTheme="majorBidi" w:cstheme="majorBidi"/>
          <w:sz w:val="24"/>
          <w:szCs w:val="24"/>
        </w:rPr>
        <w:t>18</w:t>
      </w:r>
      <w:r w:rsidR="007F381E" w:rsidRPr="004B48E1">
        <w:rPr>
          <w:rFonts w:asciiTheme="majorBidi" w:hAnsiTheme="majorBidi" w:cstheme="majorBidi"/>
          <w:sz w:val="24"/>
          <w:szCs w:val="24"/>
        </w:rPr>
        <w:t xml:space="preserve">). </w:t>
      </w:r>
      <w:r w:rsidR="00502087" w:rsidRPr="004B48E1">
        <w:rPr>
          <w:rFonts w:asciiTheme="majorBidi" w:hAnsiTheme="majorBidi" w:cstheme="majorBidi"/>
          <w:sz w:val="24"/>
          <w:szCs w:val="24"/>
        </w:rPr>
        <w:t xml:space="preserve">Roesch-Dietlen and et al (2018) conducted a </w:t>
      </w:r>
      <w:r w:rsidR="00B35588" w:rsidRPr="004B48E1">
        <w:rPr>
          <w:rFonts w:asciiTheme="majorBidi" w:hAnsiTheme="majorBidi" w:cstheme="majorBidi"/>
          <w:sz w:val="24"/>
          <w:szCs w:val="24"/>
        </w:rPr>
        <w:t>study to</w:t>
      </w:r>
      <w:r w:rsidR="00502087" w:rsidRPr="004B48E1">
        <w:rPr>
          <w:rFonts w:asciiTheme="majorBidi" w:hAnsiTheme="majorBidi" w:cstheme="majorBidi"/>
          <w:sz w:val="24"/>
          <w:szCs w:val="24"/>
        </w:rPr>
        <w:t xml:space="preserve"> describe the frequency of human papillomavirus infection in patients with digestive system cancers. Fifty-three patients were studied. They had gastrointestinal cancer located in: the colon (62.26%), stomach (18.87%), esophagus (7.55%), rectum (7.55%), and small bowel (3.77%). Human papillomavirus was identified in 11.32% of the patients, 66.7% of which corresponded to squamous cell carcinoma and 33.3% to adenocarcinoma. O</w:t>
      </w:r>
      <w:r w:rsidR="001838BB">
        <w:rPr>
          <w:rFonts w:asciiTheme="majorBidi" w:hAnsiTheme="majorBidi" w:cstheme="majorBidi"/>
          <w:sz w:val="24"/>
          <w:szCs w:val="24"/>
        </w:rPr>
        <w:t>nly genotype 18 was identified.</w:t>
      </w:r>
      <w:r w:rsidR="00DC03CD" w:rsidRPr="004B48E1">
        <w:rPr>
          <w:rFonts w:asciiTheme="majorBidi" w:hAnsiTheme="majorBidi" w:cstheme="majorBidi"/>
          <w:sz w:val="24"/>
          <w:szCs w:val="24"/>
        </w:rPr>
        <w:t xml:space="preserve"> They </w:t>
      </w:r>
      <w:r w:rsidR="00502087" w:rsidRPr="004B48E1">
        <w:rPr>
          <w:rFonts w:asciiTheme="majorBidi" w:hAnsiTheme="majorBidi" w:cstheme="majorBidi"/>
          <w:sz w:val="24"/>
          <w:szCs w:val="24"/>
        </w:rPr>
        <w:t xml:space="preserve">showed that human papillomavirus infection was a risk factor for the development of gastrointestinal cancer, especially of squamous cell </w:t>
      </w:r>
      <w:r w:rsidR="00484798" w:rsidRPr="004B48E1">
        <w:rPr>
          <w:rFonts w:asciiTheme="majorBidi" w:hAnsiTheme="majorBidi" w:cstheme="majorBidi"/>
          <w:sz w:val="24"/>
          <w:szCs w:val="24"/>
        </w:rPr>
        <w:t>origin (</w:t>
      </w:r>
      <w:r w:rsidR="00CB1EEA" w:rsidRPr="004B48E1">
        <w:rPr>
          <w:rFonts w:asciiTheme="majorBidi" w:hAnsiTheme="majorBidi" w:cstheme="majorBidi"/>
          <w:sz w:val="24"/>
          <w:szCs w:val="24"/>
        </w:rPr>
        <w:t>19</w:t>
      </w:r>
      <w:r w:rsidR="00502087" w:rsidRPr="004B48E1">
        <w:rPr>
          <w:rFonts w:asciiTheme="majorBidi" w:hAnsiTheme="majorBidi" w:cstheme="majorBidi"/>
          <w:sz w:val="24"/>
          <w:szCs w:val="24"/>
        </w:rPr>
        <w:t>).</w:t>
      </w:r>
      <w:r w:rsidR="007F381E" w:rsidRPr="004B48E1">
        <w:rPr>
          <w:rFonts w:asciiTheme="majorBidi" w:hAnsiTheme="majorBidi" w:cstheme="majorBidi"/>
          <w:sz w:val="24"/>
          <w:szCs w:val="24"/>
        </w:rPr>
        <w:t xml:space="preserve"> </w:t>
      </w:r>
    </w:p>
    <w:p w:rsidR="00E7656A" w:rsidRPr="004B48E1" w:rsidRDefault="007F381E" w:rsidP="00F2464F">
      <w:pPr>
        <w:spacing w:after="0" w:line="360" w:lineRule="auto"/>
        <w:jc w:val="both"/>
        <w:rPr>
          <w:rFonts w:asciiTheme="majorBidi" w:hAnsiTheme="majorBidi" w:cstheme="majorBidi"/>
          <w:sz w:val="24"/>
          <w:szCs w:val="24"/>
        </w:rPr>
      </w:pPr>
      <w:r w:rsidRPr="004B48E1">
        <w:rPr>
          <w:rFonts w:asciiTheme="majorBidi" w:hAnsiTheme="majorBidi" w:cstheme="majorBidi"/>
          <w:sz w:val="24"/>
          <w:szCs w:val="24"/>
        </w:rPr>
        <w:t>These studies show different evidence of the association between gastric cancer risk and viral</w:t>
      </w:r>
      <w:r w:rsidR="00484798">
        <w:rPr>
          <w:rFonts w:asciiTheme="majorBidi" w:hAnsiTheme="majorBidi" w:cstheme="majorBidi"/>
          <w:sz w:val="24"/>
          <w:szCs w:val="24"/>
        </w:rPr>
        <w:t xml:space="preserve"> </w:t>
      </w:r>
      <w:r w:rsidRPr="004B48E1">
        <w:rPr>
          <w:rFonts w:asciiTheme="majorBidi" w:hAnsiTheme="majorBidi" w:cstheme="majorBidi"/>
          <w:sz w:val="24"/>
          <w:szCs w:val="24"/>
        </w:rPr>
        <w:t>infection in different regions. Considering the high prevalence of gastric cancer in Ardabil</w:t>
      </w:r>
      <w:r w:rsidR="00484798">
        <w:rPr>
          <w:rFonts w:asciiTheme="majorBidi" w:hAnsiTheme="majorBidi" w:cstheme="majorBidi"/>
          <w:sz w:val="24"/>
          <w:szCs w:val="24"/>
        </w:rPr>
        <w:t xml:space="preserve"> </w:t>
      </w:r>
      <w:r w:rsidRPr="004B48E1">
        <w:rPr>
          <w:rFonts w:asciiTheme="majorBidi" w:hAnsiTheme="majorBidi" w:cstheme="majorBidi"/>
          <w:sz w:val="24"/>
          <w:szCs w:val="24"/>
        </w:rPr>
        <w:t>province</w:t>
      </w:r>
      <w:r w:rsidR="00485767" w:rsidRPr="004B48E1">
        <w:rPr>
          <w:rFonts w:asciiTheme="majorBidi" w:hAnsiTheme="majorBidi" w:cstheme="majorBidi"/>
          <w:sz w:val="24"/>
          <w:szCs w:val="24"/>
        </w:rPr>
        <w:t xml:space="preserve"> (2</w:t>
      </w:r>
      <w:r w:rsidR="008C3BC5" w:rsidRPr="004B48E1">
        <w:rPr>
          <w:rFonts w:asciiTheme="majorBidi" w:hAnsiTheme="majorBidi" w:cstheme="majorBidi"/>
          <w:sz w:val="24"/>
          <w:szCs w:val="24"/>
        </w:rPr>
        <w:t>, 20</w:t>
      </w:r>
      <w:r w:rsidR="00E30665">
        <w:rPr>
          <w:rFonts w:asciiTheme="majorBidi" w:hAnsiTheme="majorBidi" w:cstheme="majorBidi"/>
          <w:sz w:val="24"/>
          <w:szCs w:val="24"/>
        </w:rPr>
        <w:t xml:space="preserve"> and </w:t>
      </w:r>
      <w:r w:rsidR="00485767" w:rsidRPr="004B48E1">
        <w:rPr>
          <w:rFonts w:asciiTheme="majorBidi" w:hAnsiTheme="majorBidi" w:cstheme="majorBidi"/>
          <w:sz w:val="24"/>
          <w:szCs w:val="24"/>
        </w:rPr>
        <w:t>21)</w:t>
      </w:r>
      <w:r w:rsidR="00484798">
        <w:rPr>
          <w:rFonts w:asciiTheme="majorBidi" w:hAnsiTheme="majorBidi" w:cstheme="majorBidi"/>
          <w:sz w:val="24"/>
          <w:szCs w:val="24"/>
        </w:rPr>
        <w:t xml:space="preserve"> </w:t>
      </w:r>
      <w:r w:rsidR="00D13916" w:rsidRPr="004B48E1">
        <w:rPr>
          <w:rFonts w:asciiTheme="majorBidi" w:hAnsiTheme="majorBidi" w:cstheme="majorBidi"/>
          <w:sz w:val="24"/>
          <w:szCs w:val="24"/>
        </w:rPr>
        <w:t>Also, taking into account</w:t>
      </w:r>
      <w:r w:rsidR="00484798">
        <w:rPr>
          <w:rFonts w:asciiTheme="majorBidi" w:hAnsiTheme="majorBidi" w:cstheme="majorBidi"/>
          <w:sz w:val="24"/>
          <w:szCs w:val="24"/>
        </w:rPr>
        <w:t xml:space="preserve"> </w:t>
      </w:r>
      <w:r w:rsidR="00D13916" w:rsidRPr="004B48E1">
        <w:rPr>
          <w:rFonts w:asciiTheme="majorBidi" w:hAnsiTheme="majorBidi" w:cstheme="majorBidi"/>
          <w:sz w:val="24"/>
          <w:szCs w:val="24"/>
        </w:rPr>
        <w:t>the results of various studies regarding the role of papillomavirus in the occurrence of gastric cancer, as well as the use of PCR in examining the frequency and determination of genotypes</w:t>
      </w:r>
      <w:r w:rsidR="004B2D18" w:rsidRPr="004B48E1">
        <w:rPr>
          <w:rFonts w:asciiTheme="majorBidi" w:hAnsiTheme="majorBidi" w:cstheme="majorBidi"/>
          <w:sz w:val="24"/>
          <w:szCs w:val="24"/>
        </w:rPr>
        <w:t xml:space="preserve">, this study was conducted to investigate the </w:t>
      </w:r>
      <w:r w:rsidR="004B2D18" w:rsidRPr="004B48E1">
        <w:rPr>
          <w:rFonts w:asciiTheme="majorBidi" w:hAnsiTheme="majorBidi" w:cstheme="majorBidi"/>
          <w:sz w:val="24"/>
          <w:szCs w:val="24"/>
        </w:rPr>
        <w:lastRenderedPageBreak/>
        <w:t>prevalence of human papillomavirus types 16 and 18 in gastric carcinoma patients in the population of Ardabil province.</w:t>
      </w:r>
    </w:p>
    <w:p w:rsidR="00296B88" w:rsidRPr="004B48E1" w:rsidRDefault="00296B88"/>
    <w:p w:rsidR="00683B59" w:rsidRPr="004B48E1" w:rsidRDefault="00775CFF" w:rsidP="00296B88">
      <w:pPr>
        <w:tabs>
          <w:tab w:val="left" w:pos="2940"/>
        </w:tabs>
        <w:rPr>
          <w:rFonts w:asciiTheme="majorBidi" w:hAnsiTheme="majorBidi" w:cstheme="majorBidi"/>
          <w:b/>
          <w:bCs/>
          <w:sz w:val="24"/>
          <w:szCs w:val="24"/>
        </w:rPr>
      </w:pPr>
      <w:r w:rsidRPr="004B48E1">
        <w:rPr>
          <w:rFonts w:asciiTheme="majorBidi" w:hAnsiTheme="majorBidi" w:cstheme="majorBidi"/>
          <w:b/>
          <w:bCs/>
          <w:sz w:val="24"/>
          <w:szCs w:val="24"/>
        </w:rPr>
        <w:t>Materials and Method</w:t>
      </w:r>
      <w:r w:rsidR="00662E53">
        <w:rPr>
          <w:rFonts w:asciiTheme="majorBidi" w:hAnsiTheme="majorBidi" w:cstheme="majorBidi"/>
          <w:b/>
          <w:bCs/>
          <w:sz w:val="24"/>
          <w:szCs w:val="24"/>
        </w:rPr>
        <w:t>s</w:t>
      </w:r>
      <w:r w:rsidRPr="004B48E1">
        <w:rPr>
          <w:rFonts w:asciiTheme="majorBidi" w:hAnsiTheme="majorBidi" w:cstheme="majorBidi"/>
          <w:b/>
          <w:bCs/>
          <w:sz w:val="24"/>
          <w:szCs w:val="24"/>
        </w:rPr>
        <w:tab/>
      </w:r>
    </w:p>
    <w:p w:rsidR="00701586" w:rsidRDefault="00683B59" w:rsidP="00C17A1C">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The present study was conducted during 2019. One hundred venous blood samples including 50 healthy people and 50 people with gastric carcinoma were randomly taken from patients with gastric carcinoma, under the supervision of an oncologist and after filling the consent form out by patients</w:t>
      </w:r>
      <w:r w:rsidR="00E30665">
        <w:rPr>
          <w:rFonts w:asciiTheme="majorBidi" w:hAnsiTheme="majorBidi" w:cs="B Lotus"/>
          <w:sz w:val="24"/>
          <w:szCs w:val="24"/>
        </w:rPr>
        <w:t xml:space="preserve"> </w:t>
      </w:r>
      <w:r w:rsidRPr="004B48E1">
        <w:rPr>
          <w:rFonts w:asciiTheme="majorBidi" w:hAnsiTheme="majorBidi" w:cs="B Lotus"/>
          <w:sz w:val="24"/>
          <w:szCs w:val="24"/>
        </w:rPr>
        <w:t>referring</w:t>
      </w:r>
      <w:r w:rsidR="00E30665">
        <w:rPr>
          <w:rFonts w:asciiTheme="majorBidi" w:hAnsiTheme="majorBidi" w:cs="B Lotus"/>
          <w:sz w:val="24"/>
          <w:szCs w:val="24"/>
        </w:rPr>
        <w:t xml:space="preserve"> </w:t>
      </w:r>
      <w:r w:rsidRPr="004B48E1">
        <w:rPr>
          <w:rFonts w:asciiTheme="majorBidi" w:hAnsiTheme="majorBidi" w:cs="B Lotus"/>
          <w:sz w:val="24"/>
          <w:szCs w:val="24"/>
        </w:rPr>
        <w:t>to</w:t>
      </w:r>
      <w:r w:rsidR="00E30665">
        <w:rPr>
          <w:rFonts w:asciiTheme="majorBidi" w:hAnsiTheme="majorBidi" w:cs="B Lotus"/>
          <w:sz w:val="24"/>
          <w:szCs w:val="24"/>
        </w:rPr>
        <w:t xml:space="preserve"> </w:t>
      </w:r>
      <w:r w:rsidRPr="004B48E1">
        <w:rPr>
          <w:rFonts w:asciiTheme="majorBidi" w:hAnsiTheme="majorBidi" w:cs="B Lotus"/>
          <w:sz w:val="24"/>
          <w:szCs w:val="24"/>
        </w:rPr>
        <w:t xml:space="preserve">Aras Clinic of Imam Khomeini Hospital in Ardabil city. </w:t>
      </w:r>
      <w:r w:rsidR="00701586" w:rsidRPr="00701586">
        <w:rPr>
          <w:rFonts w:asciiTheme="majorBidi" w:hAnsiTheme="majorBidi" w:cs="B Lotus"/>
          <w:sz w:val="24"/>
          <w:szCs w:val="24"/>
        </w:rPr>
        <w:t>Ethical approval</w:t>
      </w:r>
      <w:r w:rsidR="005515E1">
        <w:rPr>
          <w:rFonts w:asciiTheme="majorBidi" w:hAnsiTheme="majorBidi" w:cs="B Lotus"/>
          <w:sz w:val="24"/>
          <w:szCs w:val="24"/>
        </w:rPr>
        <w:t xml:space="preserve"> (82015)</w:t>
      </w:r>
      <w:r w:rsidR="00701586" w:rsidRPr="00701586">
        <w:rPr>
          <w:rFonts w:asciiTheme="majorBidi" w:hAnsiTheme="majorBidi" w:cs="B Lotus"/>
          <w:sz w:val="24"/>
          <w:szCs w:val="24"/>
        </w:rPr>
        <w:t xml:space="preserve"> was obtained from the Faculty of Medicine</w:t>
      </w:r>
      <w:r w:rsidR="00662E53">
        <w:rPr>
          <w:rFonts w:asciiTheme="majorBidi" w:hAnsiTheme="majorBidi" w:cs="B Lotus"/>
          <w:sz w:val="24"/>
          <w:szCs w:val="24"/>
        </w:rPr>
        <w:t xml:space="preserve"> (</w:t>
      </w:r>
      <w:r w:rsidR="00662E53" w:rsidRPr="00662E53">
        <w:rPr>
          <w:rFonts w:asciiTheme="majorBidi" w:hAnsiTheme="majorBidi" w:cs="B Lotus"/>
          <w:sz w:val="24"/>
          <w:szCs w:val="24"/>
        </w:rPr>
        <w:t>review board</w:t>
      </w:r>
      <w:r w:rsidR="00662E53">
        <w:rPr>
          <w:rFonts w:asciiTheme="majorBidi" w:hAnsiTheme="majorBidi" w:cs="B Lotus"/>
          <w:sz w:val="24"/>
          <w:szCs w:val="24"/>
        </w:rPr>
        <w:t>)</w:t>
      </w:r>
      <w:r w:rsidR="00701586" w:rsidRPr="00701586">
        <w:rPr>
          <w:rFonts w:asciiTheme="majorBidi" w:hAnsiTheme="majorBidi" w:cs="B Lotus"/>
          <w:sz w:val="24"/>
          <w:szCs w:val="24"/>
        </w:rPr>
        <w:t xml:space="preserve"> at the University of</w:t>
      </w:r>
      <w:r w:rsidR="00701586">
        <w:rPr>
          <w:rFonts w:asciiTheme="majorBidi" w:hAnsiTheme="majorBidi" w:cs="B Lotus"/>
          <w:sz w:val="24"/>
          <w:szCs w:val="24"/>
        </w:rPr>
        <w:t xml:space="preserve"> Ardabil branch, Islamic Azad </w:t>
      </w:r>
      <w:r w:rsidR="00662E53">
        <w:rPr>
          <w:rFonts w:asciiTheme="majorBidi" w:hAnsiTheme="majorBidi" w:cs="B Lotus"/>
          <w:sz w:val="24"/>
          <w:szCs w:val="24"/>
        </w:rPr>
        <w:t>University</w:t>
      </w:r>
      <w:r w:rsidR="00701586">
        <w:rPr>
          <w:rFonts w:asciiTheme="majorBidi" w:hAnsiTheme="majorBidi" w:cs="B Lotus"/>
          <w:sz w:val="24"/>
          <w:szCs w:val="24"/>
        </w:rPr>
        <w:t>.</w:t>
      </w:r>
    </w:p>
    <w:p w:rsidR="00FA118B" w:rsidRDefault="00683B59"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The samples were stored at -70 ºC in the freezer.The DNA of the samples was extracted using the DNA Extraction and PCR Cloning Kit of Cinagen Company. After DNA extraction, a spectrophotometer was applied to quantify DNA (</w:t>
      </w:r>
      <w:r w:rsidR="00485767" w:rsidRPr="004B48E1">
        <w:rPr>
          <w:rFonts w:asciiTheme="majorBidi" w:hAnsiTheme="majorBidi" w:cs="B Lotus"/>
          <w:sz w:val="24"/>
          <w:szCs w:val="24"/>
        </w:rPr>
        <w:t>7,22</w:t>
      </w:r>
      <w:r w:rsidR="00662E53">
        <w:rPr>
          <w:rFonts w:asciiTheme="majorBidi" w:hAnsiTheme="majorBidi" w:cs="B Lotus"/>
          <w:sz w:val="24"/>
          <w:szCs w:val="24"/>
        </w:rPr>
        <w:t xml:space="preserve"> and </w:t>
      </w:r>
      <w:r w:rsidR="00485767" w:rsidRPr="004B48E1">
        <w:rPr>
          <w:rFonts w:asciiTheme="majorBidi" w:hAnsiTheme="majorBidi" w:cs="B Lotus"/>
          <w:sz w:val="24"/>
          <w:szCs w:val="24"/>
        </w:rPr>
        <w:t>24</w:t>
      </w:r>
      <w:r w:rsidRPr="004B48E1">
        <w:rPr>
          <w:rFonts w:asciiTheme="majorBidi" w:hAnsiTheme="majorBidi" w:cs="B Lotus"/>
          <w:sz w:val="24"/>
          <w:szCs w:val="24"/>
        </w:rPr>
        <w:t>). One hundred nanograms of extracted DNA from each sample was amplified by PCR using primers as described in Table 1. The amplification reaction of the desired region of DNA in a total volume of 25 μL contained which included genomic DNA(4μL), specific primers for virus genotypes(1 μL forward primer and 1 μL reverse primer), PCR-mix and PCR buffer and Taq</w:t>
      </w:r>
      <w:r w:rsidR="00662E53">
        <w:rPr>
          <w:rFonts w:asciiTheme="majorBidi" w:hAnsiTheme="majorBidi" w:cs="B Lotus"/>
          <w:sz w:val="24"/>
          <w:szCs w:val="24"/>
        </w:rPr>
        <w:t xml:space="preserve"> </w:t>
      </w:r>
      <w:r w:rsidRPr="004B48E1">
        <w:rPr>
          <w:rFonts w:asciiTheme="majorBidi" w:hAnsiTheme="majorBidi" w:cs="B Lotus"/>
          <w:sz w:val="24"/>
          <w:szCs w:val="24"/>
        </w:rPr>
        <w:t>polymerase Hot Start enzyme (12.5 μL), distilled water (6.5 μL)was performed under a specific temperature program. Initial denaturation for 15 minutes at 95°C and followed by 42 cycles including denaturation for 30 seconds at 95°C, primer annealing step at 63°C for 40 seconds and extension at 72°C for 50 seconds</w:t>
      </w:r>
      <w:r w:rsidR="00662E53">
        <w:rPr>
          <w:rFonts w:asciiTheme="majorBidi" w:hAnsiTheme="majorBidi" w:cs="B Lotus"/>
          <w:sz w:val="24"/>
          <w:szCs w:val="24"/>
        </w:rPr>
        <w:t>.</w:t>
      </w:r>
      <w:r w:rsidRPr="004B48E1">
        <w:rPr>
          <w:rFonts w:asciiTheme="majorBidi" w:hAnsiTheme="majorBidi" w:cs="B Lotus"/>
          <w:sz w:val="24"/>
          <w:szCs w:val="24"/>
        </w:rPr>
        <w:t xml:space="preserve"> The final extension was performed at 72°C for 1 min and finally the temperature was reduced to 10°C. As a negative control, a PCR reaction without a genome was achieved to control for cross-contamination. The frequency of HPV16 and HPV18 was determined by Agarose Gel Electrophoresis through 2% agarose gel (2g agarose/100 ml 0.5X TBE buffer) and run at 70 voltages for 40 minutes. The gel was stained with ethidium bromide solution (0.5µg/ml) for 15-30 </w:t>
      </w:r>
      <w:r w:rsidR="00024277" w:rsidRPr="004B48E1">
        <w:rPr>
          <w:rFonts w:asciiTheme="majorBidi" w:hAnsiTheme="majorBidi" w:cs="B Lotus"/>
          <w:sz w:val="24"/>
          <w:szCs w:val="24"/>
        </w:rPr>
        <w:t>min;</w:t>
      </w:r>
      <w:r w:rsidRPr="004B48E1">
        <w:rPr>
          <w:rFonts w:asciiTheme="majorBidi" w:hAnsiTheme="majorBidi" w:cs="B Lotus"/>
          <w:sz w:val="24"/>
          <w:szCs w:val="24"/>
        </w:rPr>
        <w:t xml:space="preserve"> bands of primers were visualized under a UV trans- illuminator and then photographed using a photo documentation system. DNA ladder (100 bp) was applied to estimate the molecular size of the bands (</w:t>
      </w:r>
      <w:r w:rsidR="004A7A79" w:rsidRPr="004B48E1">
        <w:rPr>
          <w:rFonts w:asciiTheme="majorBidi" w:hAnsiTheme="majorBidi" w:cs="B Lotus"/>
          <w:sz w:val="24"/>
          <w:szCs w:val="24"/>
        </w:rPr>
        <w:t>24</w:t>
      </w:r>
      <w:r w:rsidRPr="004B48E1">
        <w:rPr>
          <w:rFonts w:asciiTheme="majorBidi" w:hAnsiTheme="majorBidi" w:cs="B Lotus"/>
          <w:sz w:val="24"/>
          <w:szCs w:val="24"/>
        </w:rPr>
        <w:t>).</w:t>
      </w:r>
    </w:p>
    <w:p w:rsidR="005819C0" w:rsidRDefault="005819C0" w:rsidP="005819C0">
      <w:pPr>
        <w:tabs>
          <w:tab w:val="left" w:pos="2940"/>
        </w:tabs>
        <w:spacing w:after="0" w:line="360" w:lineRule="auto"/>
        <w:jc w:val="both"/>
        <w:rPr>
          <w:rFonts w:asciiTheme="majorBidi" w:hAnsiTheme="majorBidi" w:cs="B Lotus"/>
          <w:sz w:val="24"/>
          <w:szCs w:val="24"/>
        </w:rPr>
      </w:pPr>
    </w:p>
    <w:p w:rsidR="005819C0" w:rsidRDefault="005819C0" w:rsidP="005819C0">
      <w:pPr>
        <w:tabs>
          <w:tab w:val="left" w:pos="2940"/>
        </w:tabs>
        <w:spacing w:after="0" w:line="360" w:lineRule="auto"/>
        <w:jc w:val="both"/>
        <w:rPr>
          <w:rFonts w:asciiTheme="majorBidi" w:hAnsiTheme="majorBidi" w:cs="B Lotus"/>
          <w:sz w:val="24"/>
          <w:szCs w:val="24"/>
        </w:rPr>
      </w:pPr>
    </w:p>
    <w:p w:rsidR="005819C0" w:rsidRPr="004B48E1" w:rsidRDefault="005819C0" w:rsidP="005819C0">
      <w:pPr>
        <w:tabs>
          <w:tab w:val="left" w:pos="2940"/>
        </w:tabs>
        <w:spacing w:after="0" w:line="360" w:lineRule="auto"/>
        <w:jc w:val="both"/>
        <w:rPr>
          <w:rFonts w:asciiTheme="majorBidi" w:hAnsiTheme="majorBidi" w:cs="B Lotus"/>
          <w:sz w:val="24"/>
          <w:szCs w:val="24"/>
          <w:rtl/>
        </w:rPr>
      </w:pPr>
    </w:p>
    <w:p w:rsidR="00683B59" w:rsidRPr="004B48E1" w:rsidRDefault="00683B59" w:rsidP="00EF6463">
      <w:pPr>
        <w:tabs>
          <w:tab w:val="left" w:pos="2940"/>
        </w:tabs>
        <w:jc w:val="center"/>
        <w:rPr>
          <w:rFonts w:asciiTheme="majorBidi" w:hAnsiTheme="majorBidi" w:cs="B Lotus"/>
          <w:sz w:val="24"/>
          <w:szCs w:val="24"/>
          <w:rtl/>
        </w:rPr>
      </w:pPr>
      <w:r w:rsidRPr="004B48E1">
        <w:rPr>
          <w:rFonts w:asciiTheme="majorBidi" w:hAnsiTheme="majorBidi" w:cs="B Lotus"/>
          <w:sz w:val="24"/>
          <w:szCs w:val="24"/>
        </w:rPr>
        <w:lastRenderedPageBreak/>
        <w:t>Table 1</w:t>
      </w:r>
      <w:r w:rsidR="00EF6463">
        <w:rPr>
          <w:rFonts w:asciiTheme="majorBidi" w:hAnsiTheme="majorBidi" w:cs="B Lotus"/>
          <w:sz w:val="24"/>
          <w:szCs w:val="24"/>
        </w:rPr>
        <w:t>.</w:t>
      </w:r>
      <w:r w:rsidRPr="004B48E1">
        <w:rPr>
          <w:rFonts w:asciiTheme="majorBidi" w:hAnsiTheme="majorBidi" w:cs="B Lotus"/>
          <w:sz w:val="24"/>
          <w:szCs w:val="24"/>
        </w:rPr>
        <w:t xml:space="preserve"> Primer sequences used for the detection of the HPV16 and HPV18 PCR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8"/>
        <w:gridCol w:w="1350"/>
        <w:gridCol w:w="4780"/>
        <w:gridCol w:w="994"/>
        <w:gridCol w:w="972"/>
      </w:tblGrid>
      <w:tr w:rsidR="004B48E1" w:rsidRPr="004B48E1" w:rsidTr="00FD240F">
        <w:trPr>
          <w:trHeight w:val="738"/>
        </w:trPr>
        <w:tc>
          <w:tcPr>
            <w:tcW w:w="1598" w:type="dxa"/>
          </w:tcPr>
          <w:p w:rsidR="00683B59" w:rsidRPr="004B48E1" w:rsidRDefault="00683B59" w:rsidP="00FD240F">
            <w:pPr>
              <w:pStyle w:val="TableParagraph"/>
              <w:spacing w:before="231"/>
              <w:ind w:left="398"/>
              <w:jc w:val="left"/>
              <w:rPr>
                <w:b/>
                <w:sz w:val="24"/>
              </w:rPr>
            </w:pPr>
            <w:r w:rsidRPr="004B48E1">
              <w:rPr>
                <w:b/>
                <w:sz w:val="24"/>
              </w:rPr>
              <w:t>HPV</w:t>
            </w:r>
            <w:r w:rsidRPr="004B48E1">
              <w:rPr>
                <w:b/>
                <w:spacing w:val="-4"/>
                <w:sz w:val="24"/>
              </w:rPr>
              <w:t>type</w:t>
            </w:r>
          </w:p>
        </w:tc>
        <w:tc>
          <w:tcPr>
            <w:tcW w:w="1350" w:type="dxa"/>
          </w:tcPr>
          <w:p w:rsidR="00683B59" w:rsidRPr="00024277" w:rsidRDefault="00D3781E" w:rsidP="00FD240F">
            <w:pPr>
              <w:pStyle w:val="TableParagraph"/>
              <w:spacing w:before="243"/>
              <w:ind w:left="10" w:right="3"/>
              <w:rPr>
                <w:b/>
              </w:rPr>
            </w:pPr>
            <w:r>
              <w:rPr>
                <w:b/>
              </w:rPr>
              <w:t>Primer</w:t>
            </w:r>
          </w:p>
        </w:tc>
        <w:tc>
          <w:tcPr>
            <w:tcW w:w="4780" w:type="dxa"/>
          </w:tcPr>
          <w:p w:rsidR="00683B59" w:rsidRPr="004B48E1" w:rsidRDefault="00683B59" w:rsidP="00FD240F">
            <w:pPr>
              <w:pStyle w:val="TableParagraph"/>
              <w:spacing w:before="243"/>
              <w:ind w:left="9" w:right="2"/>
              <w:rPr>
                <w:b/>
              </w:rPr>
            </w:pPr>
            <w:r w:rsidRPr="004B48E1">
              <w:rPr>
                <w:b/>
                <w:spacing w:val="-2"/>
              </w:rPr>
              <w:t>Sequence</w:t>
            </w:r>
          </w:p>
        </w:tc>
        <w:tc>
          <w:tcPr>
            <w:tcW w:w="994" w:type="dxa"/>
          </w:tcPr>
          <w:p w:rsidR="00683B59" w:rsidRPr="004B48E1" w:rsidRDefault="00683B59" w:rsidP="00FD240F">
            <w:pPr>
              <w:pStyle w:val="TableParagraph"/>
              <w:spacing w:before="243"/>
              <w:ind w:left="10"/>
              <w:rPr>
                <w:b/>
              </w:rPr>
            </w:pPr>
            <w:r w:rsidRPr="004B48E1">
              <w:rPr>
                <w:b/>
                <w:spacing w:val="-2"/>
              </w:rPr>
              <w:t>Length</w:t>
            </w:r>
          </w:p>
        </w:tc>
        <w:tc>
          <w:tcPr>
            <w:tcW w:w="972" w:type="dxa"/>
          </w:tcPr>
          <w:p w:rsidR="00683B59" w:rsidRPr="004B48E1" w:rsidRDefault="00683B59" w:rsidP="00FD240F">
            <w:pPr>
              <w:pStyle w:val="TableParagraph"/>
              <w:spacing w:before="243"/>
              <w:ind w:left="106"/>
              <w:jc w:val="left"/>
              <w:rPr>
                <w:b/>
              </w:rPr>
            </w:pPr>
            <w:r w:rsidRPr="004B48E1">
              <w:rPr>
                <w:b/>
                <w:spacing w:val="-2"/>
              </w:rPr>
              <w:t>Product</w:t>
            </w:r>
          </w:p>
        </w:tc>
      </w:tr>
      <w:tr w:rsidR="004B48E1" w:rsidRPr="004B48E1" w:rsidTr="00D3781E">
        <w:trPr>
          <w:trHeight w:val="505"/>
        </w:trPr>
        <w:tc>
          <w:tcPr>
            <w:tcW w:w="1598" w:type="dxa"/>
            <w:vMerge w:val="restart"/>
          </w:tcPr>
          <w:p w:rsidR="00683B59" w:rsidRPr="004B48E1" w:rsidRDefault="00683B59" w:rsidP="00FD240F">
            <w:pPr>
              <w:pStyle w:val="TableParagraph"/>
              <w:spacing w:before="131"/>
              <w:jc w:val="left"/>
            </w:pPr>
          </w:p>
          <w:p w:rsidR="00683B59" w:rsidRPr="004B48E1" w:rsidRDefault="00683B59" w:rsidP="00FD240F">
            <w:pPr>
              <w:pStyle w:val="TableParagraph"/>
              <w:spacing w:before="1"/>
              <w:ind w:left="527"/>
              <w:jc w:val="left"/>
              <w:rPr>
                <w:b/>
              </w:rPr>
            </w:pPr>
            <w:r w:rsidRPr="004B48E1">
              <w:rPr>
                <w:b/>
                <w:spacing w:val="-6"/>
              </w:rPr>
              <w:t>HPV-</w:t>
            </w:r>
            <w:r w:rsidRPr="004B48E1">
              <w:rPr>
                <w:b/>
                <w:spacing w:val="-5"/>
              </w:rPr>
              <w:t>16</w:t>
            </w:r>
          </w:p>
        </w:tc>
        <w:tc>
          <w:tcPr>
            <w:tcW w:w="1350" w:type="dxa"/>
            <w:vAlign w:val="center"/>
          </w:tcPr>
          <w:p w:rsidR="00683B59" w:rsidRPr="004B48E1" w:rsidRDefault="00683B59" w:rsidP="00D3781E">
            <w:pPr>
              <w:pStyle w:val="TableParagraph"/>
              <w:spacing w:before="1"/>
              <w:ind w:left="10"/>
            </w:pPr>
            <w:r w:rsidRPr="004B48E1">
              <w:rPr>
                <w:spacing w:val="-5"/>
              </w:rPr>
              <w:t>Forward</w:t>
            </w:r>
          </w:p>
        </w:tc>
        <w:tc>
          <w:tcPr>
            <w:tcW w:w="4780" w:type="dxa"/>
            <w:vAlign w:val="center"/>
          </w:tcPr>
          <w:p w:rsidR="00683B59" w:rsidRPr="004B48E1" w:rsidRDefault="00683B59" w:rsidP="00D3781E">
            <w:pPr>
              <w:pStyle w:val="TableParagraph"/>
              <w:spacing w:before="1"/>
              <w:ind w:left="9" w:right="5"/>
            </w:pPr>
            <w:r w:rsidRPr="004B48E1">
              <w:t>5'-GTCAAAAGCCACTGTGTCCT-</w:t>
            </w:r>
            <w:r w:rsidRPr="004B48E1">
              <w:rPr>
                <w:spacing w:val="-5"/>
              </w:rPr>
              <w:t>3'</w:t>
            </w:r>
          </w:p>
        </w:tc>
        <w:tc>
          <w:tcPr>
            <w:tcW w:w="994" w:type="dxa"/>
          </w:tcPr>
          <w:p w:rsidR="00683B59" w:rsidRPr="004B48E1" w:rsidRDefault="00683B59" w:rsidP="00FD240F">
            <w:pPr>
              <w:pStyle w:val="TableParagraph"/>
              <w:spacing w:before="1"/>
              <w:ind w:left="10" w:right="3"/>
            </w:pPr>
            <w:r w:rsidRPr="004B48E1">
              <w:rPr>
                <w:spacing w:val="-2"/>
              </w:rPr>
              <w:t>420-</w:t>
            </w:r>
            <w:r w:rsidRPr="004B48E1">
              <w:rPr>
                <w:spacing w:val="-5"/>
              </w:rPr>
              <w:t>440</w:t>
            </w:r>
          </w:p>
        </w:tc>
        <w:tc>
          <w:tcPr>
            <w:tcW w:w="972" w:type="dxa"/>
            <w:vMerge w:val="restart"/>
          </w:tcPr>
          <w:p w:rsidR="00683B59" w:rsidRPr="004B48E1" w:rsidRDefault="00683B59" w:rsidP="00FD240F">
            <w:pPr>
              <w:pStyle w:val="TableParagraph"/>
              <w:spacing w:before="131"/>
              <w:jc w:val="left"/>
            </w:pPr>
          </w:p>
          <w:p w:rsidR="00683B59" w:rsidRPr="004B48E1" w:rsidRDefault="00683B59" w:rsidP="00FD240F">
            <w:pPr>
              <w:pStyle w:val="TableParagraph"/>
              <w:spacing w:before="1"/>
              <w:ind w:left="317"/>
              <w:jc w:val="left"/>
            </w:pPr>
            <w:r w:rsidRPr="004B48E1">
              <w:rPr>
                <w:spacing w:val="-5"/>
              </w:rPr>
              <w:t>499</w:t>
            </w:r>
          </w:p>
        </w:tc>
      </w:tr>
      <w:tr w:rsidR="004B48E1" w:rsidRPr="004B48E1" w:rsidTr="00D3781E">
        <w:trPr>
          <w:trHeight w:val="506"/>
        </w:trPr>
        <w:tc>
          <w:tcPr>
            <w:tcW w:w="1598" w:type="dxa"/>
            <w:vMerge/>
            <w:tcBorders>
              <w:top w:val="nil"/>
            </w:tcBorders>
          </w:tcPr>
          <w:p w:rsidR="00683B59" w:rsidRPr="004B48E1" w:rsidRDefault="00683B59" w:rsidP="00FD240F">
            <w:pPr>
              <w:rPr>
                <w:sz w:val="2"/>
                <w:szCs w:val="2"/>
              </w:rPr>
            </w:pPr>
          </w:p>
        </w:tc>
        <w:tc>
          <w:tcPr>
            <w:tcW w:w="1350" w:type="dxa"/>
            <w:vAlign w:val="center"/>
          </w:tcPr>
          <w:p w:rsidR="00683B59" w:rsidRPr="004B48E1" w:rsidRDefault="00683B59" w:rsidP="00D3781E">
            <w:pPr>
              <w:pStyle w:val="TableParagraph"/>
              <w:spacing w:before="1"/>
              <w:ind w:left="10"/>
            </w:pPr>
            <w:r w:rsidRPr="004B48E1">
              <w:rPr>
                <w:spacing w:val="-5"/>
              </w:rPr>
              <w:t>Reverse</w:t>
            </w:r>
          </w:p>
        </w:tc>
        <w:tc>
          <w:tcPr>
            <w:tcW w:w="4780" w:type="dxa"/>
            <w:vAlign w:val="center"/>
          </w:tcPr>
          <w:p w:rsidR="00683B59" w:rsidRPr="004B48E1" w:rsidRDefault="00683B59" w:rsidP="00D3781E">
            <w:pPr>
              <w:pStyle w:val="TableParagraph"/>
              <w:spacing w:before="125"/>
              <w:ind w:left="9" w:right="3"/>
            </w:pPr>
            <w:r w:rsidRPr="004B48E1">
              <w:rPr>
                <w:spacing w:val="-2"/>
              </w:rPr>
              <w:t>5'-CCATCCATTACATCCCGTAC-</w:t>
            </w:r>
            <w:r w:rsidRPr="004B48E1">
              <w:rPr>
                <w:spacing w:val="-5"/>
              </w:rPr>
              <w:t>3'</w:t>
            </w:r>
          </w:p>
        </w:tc>
        <w:tc>
          <w:tcPr>
            <w:tcW w:w="994" w:type="dxa"/>
          </w:tcPr>
          <w:p w:rsidR="00683B59" w:rsidRPr="004B48E1" w:rsidRDefault="00683B59" w:rsidP="00FD240F">
            <w:pPr>
              <w:pStyle w:val="TableParagraph"/>
              <w:spacing w:before="125"/>
              <w:ind w:left="10" w:right="3"/>
            </w:pPr>
            <w:r w:rsidRPr="004B48E1">
              <w:rPr>
                <w:spacing w:val="-2"/>
              </w:rPr>
              <w:t>899-</w:t>
            </w:r>
            <w:r w:rsidRPr="004B48E1">
              <w:rPr>
                <w:spacing w:val="-5"/>
              </w:rPr>
              <w:t>919</w:t>
            </w:r>
          </w:p>
        </w:tc>
        <w:tc>
          <w:tcPr>
            <w:tcW w:w="972" w:type="dxa"/>
            <w:vMerge/>
            <w:tcBorders>
              <w:top w:val="nil"/>
            </w:tcBorders>
          </w:tcPr>
          <w:p w:rsidR="00683B59" w:rsidRPr="004B48E1" w:rsidRDefault="00683B59" w:rsidP="00FD240F">
            <w:pPr>
              <w:rPr>
                <w:sz w:val="2"/>
                <w:szCs w:val="2"/>
              </w:rPr>
            </w:pPr>
          </w:p>
        </w:tc>
      </w:tr>
      <w:tr w:rsidR="004B48E1" w:rsidRPr="004B48E1" w:rsidTr="00D3781E">
        <w:trPr>
          <w:trHeight w:val="760"/>
        </w:trPr>
        <w:tc>
          <w:tcPr>
            <w:tcW w:w="1598" w:type="dxa"/>
            <w:vMerge w:val="restart"/>
          </w:tcPr>
          <w:p w:rsidR="00683B59" w:rsidRPr="004B48E1" w:rsidRDefault="00683B59" w:rsidP="00FD240F">
            <w:pPr>
              <w:pStyle w:val="TableParagraph"/>
              <w:jc w:val="left"/>
            </w:pPr>
          </w:p>
          <w:p w:rsidR="00683B59" w:rsidRPr="004B48E1" w:rsidRDefault="00683B59" w:rsidP="00FD240F">
            <w:pPr>
              <w:pStyle w:val="TableParagraph"/>
              <w:spacing w:before="30"/>
              <w:jc w:val="left"/>
            </w:pPr>
          </w:p>
          <w:p w:rsidR="00683B59" w:rsidRPr="004B48E1" w:rsidRDefault="00683B59" w:rsidP="00FD240F">
            <w:pPr>
              <w:pStyle w:val="TableParagraph"/>
              <w:ind w:left="527"/>
              <w:jc w:val="left"/>
              <w:rPr>
                <w:b/>
              </w:rPr>
            </w:pPr>
            <w:r w:rsidRPr="004B48E1">
              <w:rPr>
                <w:b/>
                <w:spacing w:val="-6"/>
              </w:rPr>
              <w:t>HPV-</w:t>
            </w:r>
            <w:r w:rsidRPr="004B48E1">
              <w:rPr>
                <w:b/>
                <w:spacing w:val="-5"/>
              </w:rPr>
              <w:t>18</w:t>
            </w:r>
          </w:p>
        </w:tc>
        <w:tc>
          <w:tcPr>
            <w:tcW w:w="1350" w:type="dxa"/>
            <w:vAlign w:val="center"/>
          </w:tcPr>
          <w:p w:rsidR="00683B59" w:rsidRPr="004B48E1" w:rsidRDefault="00683B59" w:rsidP="00D3781E">
            <w:pPr>
              <w:pStyle w:val="TableParagraph"/>
              <w:spacing w:before="125"/>
              <w:ind w:left="10"/>
            </w:pPr>
            <w:r w:rsidRPr="004B48E1">
              <w:rPr>
                <w:spacing w:val="-5"/>
              </w:rPr>
              <w:t>Forward</w:t>
            </w:r>
          </w:p>
        </w:tc>
        <w:tc>
          <w:tcPr>
            <w:tcW w:w="4780" w:type="dxa"/>
          </w:tcPr>
          <w:p w:rsidR="00683B59" w:rsidRPr="004B48E1" w:rsidRDefault="00683B59" w:rsidP="00D3781E">
            <w:pPr>
              <w:pStyle w:val="TableParagraph"/>
            </w:pPr>
          </w:p>
          <w:p w:rsidR="00683B59" w:rsidRPr="004B48E1" w:rsidRDefault="00683B59" w:rsidP="00D3781E">
            <w:pPr>
              <w:pStyle w:val="TableParagraph"/>
              <w:ind w:left="9" w:right="3"/>
            </w:pPr>
            <w:r w:rsidRPr="004B48E1">
              <w:rPr>
                <w:spacing w:val="-2"/>
              </w:rPr>
              <w:t>5'-CCGAGCACGACAGGAACGACT-</w:t>
            </w:r>
            <w:r w:rsidRPr="004B48E1">
              <w:rPr>
                <w:spacing w:val="-5"/>
              </w:rPr>
              <w:t>3'</w:t>
            </w:r>
          </w:p>
        </w:tc>
        <w:tc>
          <w:tcPr>
            <w:tcW w:w="994" w:type="dxa"/>
          </w:tcPr>
          <w:p w:rsidR="00683B59" w:rsidRPr="004B48E1" w:rsidRDefault="00683B59" w:rsidP="00FD240F">
            <w:pPr>
              <w:pStyle w:val="TableParagraph"/>
              <w:spacing w:before="1"/>
              <w:ind w:left="10" w:right="3"/>
            </w:pPr>
            <w:r w:rsidRPr="004B48E1">
              <w:rPr>
                <w:spacing w:val="-2"/>
              </w:rPr>
              <w:t>533-</w:t>
            </w:r>
            <w:r w:rsidRPr="004B48E1">
              <w:rPr>
                <w:spacing w:val="-5"/>
              </w:rPr>
              <w:t>553</w:t>
            </w:r>
          </w:p>
        </w:tc>
        <w:tc>
          <w:tcPr>
            <w:tcW w:w="972" w:type="dxa"/>
            <w:vMerge w:val="restart"/>
          </w:tcPr>
          <w:p w:rsidR="00683B59" w:rsidRPr="004B48E1" w:rsidRDefault="00683B59" w:rsidP="00FD240F">
            <w:pPr>
              <w:pStyle w:val="TableParagraph"/>
              <w:jc w:val="left"/>
            </w:pPr>
          </w:p>
          <w:p w:rsidR="00683B59" w:rsidRPr="004B48E1" w:rsidRDefault="00683B59" w:rsidP="00FD240F">
            <w:pPr>
              <w:pStyle w:val="TableParagraph"/>
              <w:spacing w:before="30"/>
              <w:jc w:val="left"/>
            </w:pPr>
          </w:p>
          <w:p w:rsidR="00683B59" w:rsidRPr="004B48E1" w:rsidRDefault="00683B59" w:rsidP="00FD240F">
            <w:pPr>
              <w:pStyle w:val="TableParagraph"/>
              <w:ind w:left="317"/>
              <w:jc w:val="left"/>
            </w:pPr>
            <w:r w:rsidRPr="004B48E1">
              <w:rPr>
                <w:spacing w:val="-5"/>
              </w:rPr>
              <w:t>172</w:t>
            </w:r>
          </w:p>
        </w:tc>
      </w:tr>
      <w:tr w:rsidR="004B48E1" w:rsidRPr="004B48E1" w:rsidTr="00D3781E">
        <w:trPr>
          <w:trHeight w:val="553"/>
        </w:trPr>
        <w:tc>
          <w:tcPr>
            <w:tcW w:w="1598" w:type="dxa"/>
            <w:vMerge/>
            <w:tcBorders>
              <w:top w:val="nil"/>
            </w:tcBorders>
          </w:tcPr>
          <w:p w:rsidR="00683B59" w:rsidRPr="004B48E1" w:rsidRDefault="00683B59" w:rsidP="00FD240F">
            <w:pPr>
              <w:rPr>
                <w:sz w:val="2"/>
                <w:szCs w:val="2"/>
              </w:rPr>
            </w:pPr>
          </w:p>
        </w:tc>
        <w:tc>
          <w:tcPr>
            <w:tcW w:w="1350" w:type="dxa"/>
            <w:vAlign w:val="center"/>
          </w:tcPr>
          <w:p w:rsidR="00683B59" w:rsidRPr="004B48E1" w:rsidRDefault="00683B59" w:rsidP="00D3781E">
            <w:pPr>
              <w:pStyle w:val="TableParagraph"/>
              <w:spacing w:before="22"/>
              <w:ind w:left="10"/>
            </w:pPr>
            <w:r w:rsidRPr="004B48E1">
              <w:rPr>
                <w:spacing w:val="-5"/>
              </w:rPr>
              <w:t>Reverse</w:t>
            </w:r>
          </w:p>
        </w:tc>
        <w:tc>
          <w:tcPr>
            <w:tcW w:w="4780" w:type="dxa"/>
            <w:vAlign w:val="bottom"/>
          </w:tcPr>
          <w:p w:rsidR="00683B59" w:rsidRPr="004B48E1" w:rsidRDefault="00683B59" w:rsidP="00D3781E">
            <w:pPr>
              <w:pStyle w:val="TableParagraph"/>
              <w:spacing w:before="22"/>
              <w:ind w:left="9" w:right="3"/>
            </w:pPr>
            <w:r w:rsidRPr="004B48E1">
              <w:t xml:space="preserve">5'-TCGTTTTCTTCCTCTGAGTCG </w:t>
            </w:r>
            <w:r w:rsidRPr="004B48E1">
              <w:rPr>
                <w:spacing w:val="-4"/>
              </w:rPr>
              <w:t>CTT-3</w:t>
            </w:r>
            <w:r w:rsidRPr="004B48E1">
              <w:rPr>
                <w:spacing w:val="-4"/>
                <w:vertAlign w:val="superscript"/>
              </w:rPr>
              <w:t>’</w:t>
            </w:r>
          </w:p>
          <w:p w:rsidR="00683B59" w:rsidRPr="004B48E1" w:rsidRDefault="00683B59" w:rsidP="00D3781E">
            <w:pPr>
              <w:pStyle w:val="TableParagraph"/>
              <w:spacing w:before="2"/>
              <w:ind w:left="9"/>
            </w:pPr>
          </w:p>
        </w:tc>
        <w:tc>
          <w:tcPr>
            <w:tcW w:w="994" w:type="dxa"/>
          </w:tcPr>
          <w:p w:rsidR="00683B59" w:rsidRPr="004B48E1" w:rsidRDefault="00683B59" w:rsidP="00FD240F">
            <w:pPr>
              <w:pStyle w:val="TableParagraph"/>
              <w:spacing w:before="149"/>
              <w:ind w:left="10" w:right="3"/>
            </w:pPr>
            <w:r w:rsidRPr="004B48E1">
              <w:rPr>
                <w:spacing w:val="-2"/>
              </w:rPr>
              <w:t>682-</w:t>
            </w:r>
            <w:r w:rsidRPr="004B48E1">
              <w:rPr>
                <w:spacing w:val="-5"/>
              </w:rPr>
              <w:t>705</w:t>
            </w:r>
          </w:p>
        </w:tc>
        <w:tc>
          <w:tcPr>
            <w:tcW w:w="972" w:type="dxa"/>
            <w:vMerge/>
            <w:tcBorders>
              <w:top w:val="nil"/>
            </w:tcBorders>
          </w:tcPr>
          <w:p w:rsidR="00683B59" w:rsidRPr="004B48E1" w:rsidRDefault="00683B59" w:rsidP="00FD240F">
            <w:pPr>
              <w:rPr>
                <w:sz w:val="2"/>
                <w:szCs w:val="2"/>
              </w:rPr>
            </w:pPr>
          </w:p>
        </w:tc>
      </w:tr>
    </w:tbl>
    <w:p w:rsidR="00683B59" w:rsidRPr="004B48E1" w:rsidRDefault="00683B59" w:rsidP="00775CFF">
      <w:pPr>
        <w:tabs>
          <w:tab w:val="left" w:pos="2940"/>
        </w:tabs>
        <w:jc w:val="both"/>
        <w:rPr>
          <w:rFonts w:asciiTheme="majorBidi" w:hAnsiTheme="majorBidi" w:cs="B Lotus"/>
          <w:b/>
          <w:bCs/>
          <w:sz w:val="24"/>
          <w:szCs w:val="24"/>
          <w:rtl/>
        </w:rPr>
      </w:pPr>
    </w:p>
    <w:p w:rsidR="00F64EDB" w:rsidRPr="004B48E1" w:rsidRDefault="00F64EDB" w:rsidP="00F64EDB">
      <w:pPr>
        <w:tabs>
          <w:tab w:val="left" w:pos="2940"/>
        </w:tabs>
        <w:rPr>
          <w:rFonts w:asciiTheme="majorBidi" w:hAnsiTheme="majorBidi" w:cs="B Lotus"/>
          <w:b/>
          <w:bCs/>
          <w:sz w:val="24"/>
          <w:szCs w:val="24"/>
        </w:rPr>
      </w:pPr>
      <w:r w:rsidRPr="004B48E1">
        <w:rPr>
          <w:rFonts w:asciiTheme="majorBidi" w:hAnsiTheme="majorBidi" w:cs="B Lotus"/>
          <w:b/>
          <w:bCs/>
          <w:sz w:val="24"/>
          <w:szCs w:val="24"/>
        </w:rPr>
        <w:t>Results</w:t>
      </w:r>
    </w:p>
    <w:p w:rsidR="00924942" w:rsidRDefault="00F64EDB" w:rsidP="00C17A1C">
      <w:pPr>
        <w:tabs>
          <w:tab w:val="left" w:pos="2940"/>
        </w:tabs>
        <w:spacing w:line="360" w:lineRule="auto"/>
        <w:jc w:val="both"/>
        <w:rPr>
          <w:rFonts w:asciiTheme="majorBidi" w:hAnsiTheme="majorBidi" w:cs="B Lotus"/>
          <w:sz w:val="24"/>
          <w:szCs w:val="24"/>
        </w:rPr>
      </w:pPr>
      <w:r w:rsidRPr="004B48E1">
        <w:rPr>
          <w:rFonts w:asciiTheme="majorBidi" w:hAnsiTheme="majorBidi" w:cs="B Lotus"/>
          <w:sz w:val="24"/>
          <w:szCs w:val="24"/>
        </w:rPr>
        <w:t>Table 2 summarize</w:t>
      </w:r>
      <w:r w:rsidR="00B004FB" w:rsidRPr="004B48E1">
        <w:rPr>
          <w:rFonts w:asciiTheme="majorBidi" w:hAnsiTheme="majorBidi" w:cs="B Lotus"/>
          <w:sz w:val="24"/>
          <w:szCs w:val="24"/>
        </w:rPr>
        <w:t>s</w:t>
      </w:r>
      <w:r w:rsidRPr="004B48E1">
        <w:rPr>
          <w:rFonts w:asciiTheme="majorBidi" w:hAnsiTheme="majorBidi" w:cs="B Lotus"/>
          <w:sz w:val="24"/>
          <w:szCs w:val="24"/>
        </w:rPr>
        <w:t xml:space="preserve"> the demographic data for age and number of patients and healthy people. In terms of gender, in the group of patients with gastric cancer, 33 cases (66%) were male and 17 cases (34%) were female, and in the healthy group, 23 cases (46%) were male and 27 cases (54%) were female. Most of the patients, whether healthy or sick, were in the age range of 60-80.</w:t>
      </w:r>
      <w:r w:rsidR="00970888" w:rsidRPr="004B48E1">
        <w:rPr>
          <w:rFonts w:asciiTheme="majorBidi" w:hAnsiTheme="majorBidi" w:cs="B Lotus"/>
          <w:sz w:val="24"/>
          <w:szCs w:val="24"/>
        </w:rPr>
        <w:t xml:space="preserve"> Figures 1 and 2 are the electrophoresis results of the PCR products. HPV16 and HPV18 show band in the range of 499 bp and 172 bp, respectively. In electrophoresis 1% agarose gel is prepared on samples with hpv16 primer and 2% agarose gel is prepared on samples with hpv18 primer.</w:t>
      </w:r>
      <w:r w:rsidR="004F3095" w:rsidRPr="004B48E1">
        <w:rPr>
          <w:rFonts w:asciiTheme="majorBidi" w:hAnsiTheme="majorBidi" w:cs="B Lotus"/>
          <w:sz w:val="24"/>
          <w:szCs w:val="24"/>
        </w:rPr>
        <w:t xml:space="preserve"> In figure 2 lane</w:t>
      </w:r>
      <w:r w:rsidR="00BE4C84">
        <w:rPr>
          <w:rFonts w:asciiTheme="majorBidi" w:hAnsiTheme="majorBidi" w:cs="B Lotus"/>
          <w:sz w:val="24"/>
          <w:szCs w:val="24"/>
        </w:rPr>
        <w:t>s</w:t>
      </w:r>
      <w:r w:rsidR="004F3095" w:rsidRPr="004B48E1">
        <w:rPr>
          <w:rFonts w:asciiTheme="majorBidi" w:hAnsiTheme="majorBidi" w:cs="B Lotus"/>
          <w:sz w:val="24"/>
          <w:szCs w:val="24"/>
        </w:rPr>
        <w:t xml:space="preserve"> 3-7 are clinical samples. </w:t>
      </w:r>
      <w:r w:rsidR="00924942" w:rsidRPr="004B48E1">
        <w:rPr>
          <w:rFonts w:asciiTheme="majorBidi" w:hAnsiTheme="majorBidi" w:cs="B Lotus"/>
          <w:sz w:val="24"/>
          <w:szCs w:val="24"/>
        </w:rPr>
        <w:t xml:space="preserve">In this studyHPV 16 and </w:t>
      </w:r>
      <w:r w:rsidR="005660CB" w:rsidRPr="004B48E1">
        <w:rPr>
          <w:rFonts w:asciiTheme="majorBidi" w:hAnsiTheme="majorBidi" w:cs="B Lotus"/>
          <w:sz w:val="24"/>
          <w:szCs w:val="24"/>
        </w:rPr>
        <w:t>HPV18 did</w:t>
      </w:r>
      <w:r w:rsidR="00924942" w:rsidRPr="004B48E1">
        <w:rPr>
          <w:rFonts w:asciiTheme="majorBidi" w:hAnsiTheme="majorBidi" w:cs="B Lotus"/>
          <w:sz w:val="24"/>
          <w:szCs w:val="24"/>
        </w:rPr>
        <w:t xml:space="preserve"> not show a band on electrophoresis gel.</w:t>
      </w:r>
    </w:p>
    <w:p w:rsidR="005819C0" w:rsidRPr="004B48E1" w:rsidRDefault="005819C0" w:rsidP="00C17A1C">
      <w:pPr>
        <w:tabs>
          <w:tab w:val="left" w:pos="2940"/>
        </w:tabs>
        <w:spacing w:line="360" w:lineRule="auto"/>
        <w:jc w:val="both"/>
        <w:rPr>
          <w:rFonts w:asciiTheme="majorBidi" w:hAnsiTheme="majorBidi" w:cs="B Lotus"/>
          <w:sz w:val="24"/>
          <w:szCs w:val="24"/>
          <w:lang w:bidi="fa-IR"/>
        </w:rPr>
      </w:pPr>
    </w:p>
    <w:p w:rsidR="00C24893" w:rsidRDefault="00C24893" w:rsidP="00EF6463">
      <w:pPr>
        <w:tabs>
          <w:tab w:val="left" w:pos="2940"/>
        </w:tabs>
        <w:jc w:val="center"/>
        <w:rPr>
          <w:rFonts w:asciiTheme="majorBidi" w:hAnsiTheme="majorBidi" w:cs="B Lotus"/>
          <w:sz w:val="24"/>
          <w:szCs w:val="24"/>
        </w:rPr>
      </w:pPr>
      <w:r w:rsidRPr="004B48E1">
        <w:rPr>
          <w:rFonts w:asciiTheme="majorBidi" w:hAnsiTheme="majorBidi" w:cs="B Lotus"/>
          <w:sz w:val="24"/>
          <w:szCs w:val="24"/>
        </w:rPr>
        <w:t>Table 2</w:t>
      </w:r>
      <w:r w:rsidR="00EF6463">
        <w:rPr>
          <w:rFonts w:asciiTheme="majorBidi" w:hAnsiTheme="majorBidi" w:cs="B Lotus"/>
          <w:sz w:val="24"/>
          <w:szCs w:val="24"/>
        </w:rPr>
        <w:t xml:space="preserve">. </w:t>
      </w:r>
      <w:r w:rsidRPr="004B48E1">
        <w:rPr>
          <w:rFonts w:asciiTheme="majorBidi" w:hAnsiTheme="majorBidi" w:cs="B Lotus"/>
          <w:sz w:val="24"/>
          <w:szCs w:val="24"/>
        </w:rPr>
        <w:t>Distribution of number of patients and healthy people</w:t>
      </w:r>
    </w:p>
    <w:tbl>
      <w:tblPr>
        <w:tblpPr w:leftFromText="180" w:rightFromText="180" w:vertAnchor="text" w:horzAnchor="margin" w:tblpXSpec="center"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1"/>
        <w:gridCol w:w="1219"/>
        <w:gridCol w:w="1207"/>
        <w:gridCol w:w="1246"/>
        <w:gridCol w:w="1302"/>
      </w:tblGrid>
      <w:tr w:rsidR="00C17A1C" w:rsidRPr="004B48E1" w:rsidTr="00C17A1C">
        <w:trPr>
          <w:trHeight w:val="268"/>
        </w:trPr>
        <w:tc>
          <w:tcPr>
            <w:tcW w:w="2031" w:type="dxa"/>
            <w:vMerge w:val="restart"/>
          </w:tcPr>
          <w:p w:rsidR="00C17A1C" w:rsidRPr="004B48E1" w:rsidRDefault="00C17A1C" w:rsidP="00C17A1C">
            <w:pPr>
              <w:pStyle w:val="TableParagraph"/>
              <w:spacing w:line="268" w:lineRule="exact"/>
              <w:ind w:left="1" w:right="73"/>
              <w:rPr>
                <w:rFonts w:ascii="Carlito"/>
                <w:b/>
              </w:rPr>
            </w:pPr>
            <w:r w:rsidRPr="004B48E1">
              <w:rPr>
                <w:rFonts w:ascii="Carlito"/>
                <w:b/>
                <w:spacing w:val="-5"/>
              </w:rPr>
              <w:t>Sex</w:t>
            </w:r>
          </w:p>
        </w:tc>
        <w:tc>
          <w:tcPr>
            <w:tcW w:w="2426" w:type="dxa"/>
            <w:gridSpan w:val="2"/>
          </w:tcPr>
          <w:p w:rsidR="00C17A1C" w:rsidRPr="004B48E1" w:rsidRDefault="00C17A1C" w:rsidP="00C17A1C">
            <w:pPr>
              <w:pStyle w:val="TableParagraph"/>
              <w:spacing w:line="248" w:lineRule="exact"/>
              <w:ind w:left="794"/>
              <w:jc w:val="left"/>
              <w:rPr>
                <w:rFonts w:ascii="Carlito"/>
                <w:b/>
              </w:rPr>
            </w:pPr>
            <w:r w:rsidRPr="004B48E1">
              <w:rPr>
                <w:rFonts w:ascii="Carlito"/>
                <w:b/>
                <w:spacing w:val="-2"/>
              </w:rPr>
              <w:t>Number</w:t>
            </w:r>
          </w:p>
        </w:tc>
        <w:tc>
          <w:tcPr>
            <w:tcW w:w="2548" w:type="dxa"/>
            <w:gridSpan w:val="2"/>
          </w:tcPr>
          <w:p w:rsidR="00C17A1C" w:rsidRPr="004B48E1" w:rsidRDefault="00C17A1C" w:rsidP="00C17A1C">
            <w:pPr>
              <w:pStyle w:val="TableParagraph"/>
              <w:spacing w:line="248" w:lineRule="exact"/>
              <w:ind w:left="605"/>
              <w:jc w:val="left"/>
              <w:rPr>
                <w:rFonts w:ascii="Carlito"/>
                <w:b/>
              </w:rPr>
            </w:pPr>
            <w:r w:rsidRPr="004B48E1">
              <w:rPr>
                <w:rFonts w:ascii="Carlito"/>
                <w:b/>
                <w:spacing w:val="-2"/>
              </w:rPr>
              <w:t>Frequency (%)</w:t>
            </w:r>
          </w:p>
        </w:tc>
      </w:tr>
      <w:tr w:rsidR="00C17A1C" w:rsidRPr="004B48E1" w:rsidTr="00C17A1C">
        <w:trPr>
          <w:trHeight w:val="268"/>
        </w:trPr>
        <w:tc>
          <w:tcPr>
            <w:tcW w:w="2031" w:type="dxa"/>
            <w:vMerge/>
            <w:tcBorders>
              <w:top w:val="nil"/>
            </w:tcBorders>
          </w:tcPr>
          <w:p w:rsidR="00C17A1C" w:rsidRPr="004B48E1" w:rsidRDefault="00C17A1C" w:rsidP="00C17A1C">
            <w:pPr>
              <w:rPr>
                <w:sz w:val="2"/>
                <w:szCs w:val="2"/>
              </w:rPr>
            </w:pPr>
          </w:p>
        </w:tc>
        <w:tc>
          <w:tcPr>
            <w:tcW w:w="1219" w:type="dxa"/>
          </w:tcPr>
          <w:p w:rsidR="00C17A1C" w:rsidRPr="004B48E1" w:rsidRDefault="00C17A1C" w:rsidP="00C17A1C">
            <w:pPr>
              <w:pStyle w:val="TableParagraph"/>
              <w:spacing w:line="248" w:lineRule="exact"/>
              <w:ind w:right="73"/>
              <w:rPr>
                <w:rFonts w:ascii="Carlito"/>
                <w:b/>
              </w:rPr>
            </w:pPr>
            <w:r w:rsidRPr="004B48E1">
              <w:rPr>
                <w:rFonts w:ascii="Carlito"/>
                <w:b/>
                <w:spacing w:val="-2"/>
              </w:rPr>
              <w:t>patients</w:t>
            </w:r>
          </w:p>
        </w:tc>
        <w:tc>
          <w:tcPr>
            <w:tcW w:w="1207" w:type="dxa"/>
          </w:tcPr>
          <w:p w:rsidR="00C17A1C" w:rsidRPr="004B48E1" w:rsidRDefault="00C17A1C" w:rsidP="00C17A1C">
            <w:pPr>
              <w:pStyle w:val="TableParagraph"/>
              <w:spacing w:line="248" w:lineRule="exact"/>
              <w:ind w:right="73"/>
              <w:rPr>
                <w:rFonts w:ascii="Carlito"/>
                <w:b/>
              </w:rPr>
            </w:pPr>
            <w:r w:rsidRPr="004B48E1">
              <w:rPr>
                <w:rFonts w:ascii="Carlito"/>
                <w:b/>
                <w:spacing w:val="-2"/>
              </w:rPr>
              <w:t>healthy</w:t>
            </w:r>
          </w:p>
        </w:tc>
        <w:tc>
          <w:tcPr>
            <w:tcW w:w="1246" w:type="dxa"/>
          </w:tcPr>
          <w:p w:rsidR="00C17A1C" w:rsidRPr="004B48E1" w:rsidRDefault="00C17A1C" w:rsidP="00C17A1C">
            <w:pPr>
              <w:pStyle w:val="TableParagraph"/>
              <w:spacing w:line="248" w:lineRule="exact"/>
              <w:ind w:right="79"/>
              <w:rPr>
                <w:rFonts w:ascii="Carlito"/>
                <w:b/>
              </w:rPr>
            </w:pPr>
            <w:r w:rsidRPr="004B48E1">
              <w:rPr>
                <w:rFonts w:ascii="Carlito"/>
                <w:b/>
                <w:spacing w:val="-2"/>
              </w:rPr>
              <w:t>patients</w:t>
            </w:r>
          </w:p>
        </w:tc>
        <w:tc>
          <w:tcPr>
            <w:tcW w:w="1302" w:type="dxa"/>
          </w:tcPr>
          <w:p w:rsidR="00C17A1C" w:rsidRPr="004B48E1" w:rsidRDefault="00C17A1C" w:rsidP="00C17A1C">
            <w:pPr>
              <w:pStyle w:val="TableParagraph"/>
              <w:spacing w:line="248" w:lineRule="exact"/>
              <w:ind w:right="81"/>
              <w:rPr>
                <w:rFonts w:ascii="Carlito"/>
                <w:b/>
              </w:rPr>
            </w:pPr>
            <w:r w:rsidRPr="004B48E1">
              <w:rPr>
                <w:rFonts w:ascii="Carlito"/>
                <w:b/>
                <w:spacing w:val="-2"/>
              </w:rPr>
              <w:t>healthy</w:t>
            </w:r>
          </w:p>
        </w:tc>
      </w:tr>
      <w:tr w:rsidR="00C17A1C" w:rsidRPr="004B48E1" w:rsidTr="00C17A1C">
        <w:trPr>
          <w:trHeight w:val="273"/>
        </w:trPr>
        <w:tc>
          <w:tcPr>
            <w:tcW w:w="2031" w:type="dxa"/>
          </w:tcPr>
          <w:p w:rsidR="00C17A1C" w:rsidRPr="004B48E1" w:rsidRDefault="00C17A1C" w:rsidP="00C17A1C">
            <w:pPr>
              <w:pStyle w:val="TableParagraph"/>
              <w:spacing w:line="253" w:lineRule="exact"/>
              <w:ind w:left="1" w:right="73"/>
              <w:rPr>
                <w:rFonts w:ascii="Carlito"/>
                <w:b/>
              </w:rPr>
            </w:pPr>
            <w:r w:rsidRPr="004B48E1">
              <w:rPr>
                <w:rFonts w:ascii="Carlito"/>
                <w:b/>
                <w:spacing w:val="-4"/>
              </w:rPr>
              <w:t>Male</w:t>
            </w:r>
          </w:p>
        </w:tc>
        <w:tc>
          <w:tcPr>
            <w:tcW w:w="1219" w:type="dxa"/>
          </w:tcPr>
          <w:p w:rsidR="00C17A1C" w:rsidRPr="004B48E1" w:rsidRDefault="00C17A1C" w:rsidP="00C17A1C">
            <w:pPr>
              <w:pStyle w:val="TableParagraph"/>
              <w:spacing w:line="253" w:lineRule="exact"/>
              <w:ind w:left="4" w:right="73"/>
              <w:rPr>
                <w:rFonts w:ascii="Carlito"/>
              </w:rPr>
            </w:pPr>
            <w:r w:rsidRPr="004B48E1">
              <w:rPr>
                <w:rFonts w:ascii="Carlito"/>
                <w:spacing w:val="-5"/>
              </w:rPr>
              <w:t>33</w:t>
            </w:r>
          </w:p>
        </w:tc>
        <w:tc>
          <w:tcPr>
            <w:tcW w:w="1207" w:type="dxa"/>
          </w:tcPr>
          <w:p w:rsidR="00C17A1C" w:rsidRPr="004B48E1" w:rsidRDefault="00C17A1C" w:rsidP="00C17A1C">
            <w:pPr>
              <w:pStyle w:val="TableParagraph"/>
              <w:spacing w:line="253" w:lineRule="exact"/>
              <w:ind w:left="2" w:right="73"/>
              <w:rPr>
                <w:rFonts w:ascii="Carlito"/>
              </w:rPr>
            </w:pPr>
            <w:r w:rsidRPr="004B48E1">
              <w:rPr>
                <w:rFonts w:ascii="Carlito"/>
                <w:spacing w:val="-5"/>
              </w:rPr>
              <w:t>23</w:t>
            </w:r>
          </w:p>
        </w:tc>
        <w:tc>
          <w:tcPr>
            <w:tcW w:w="1246" w:type="dxa"/>
          </w:tcPr>
          <w:p w:rsidR="00C17A1C" w:rsidRPr="004B48E1" w:rsidRDefault="00C17A1C" w:rsidP="00C17A1C">
            <w:pPr>
              <w:pStyle w:val="TableParagraph"/>
              <w:spacing w:line="253" w:lineRule="exact"/>
              <w:ind w:left="9" w:right="79"/>
              <w:rPr>
                <w:rFonts w:ascii="Carlito"/>
              </w:rPr>
            </w:pPr>
            <w:r w:rsidRPr="004B48E1">
              <w:rPr>
                <w:rFonts w:ascii="Carlito"/>
                <w:spacing w:val="-5"/>
              </w:rPr>
              <w:t>66%</w:t>
            </w:r>
          </w:p>
        </w:tc>
        <w:tc>
          <w:tcPr>
            <w:tcW w:w="1302" w:type="dxa"/>
          </w:tcPr>
          <w:p w:rsidR="00C17A1C" w:rsidRPr="004B48E1" w:rsidRDefault="00C17A1C" w:rsidP="00C17A1C">
            <w:pPr>
              <w:pStyle w:val="TableParagraph"/>
              <w:spacing w:line="253" w:lineRule="exact"/>
              <w:ind w:left="11" w:right="81"/>
              <w:rPr>
                <w:rFonts w:ascii="Carlito"/>
              </w:rPr>
            </w:pPr>
            <w:r w:rsidRPr="004B48E1">
              <w:rPr>
                <w:rFonts w:ascii="Carlito"/>
                <w:spacing w:val="-5"/>
              </w:rPr>
              <w:t>34%</w:t>
            </w:r>
          </w:p>
        </w:tc>
      </w:tr>
      <w:tr w:rsidR="00C17A1C" w:rsidRPr="004B48E1" w:rsidTr="00C17A1C">
        <w:trPr>
          <w:trHeight w:val="273"/>
        </w:trPr>
        <w:tc>
          <w:tcPr>
            <w:tcW w:w="2031" w:type="dxa"/>
          </w:tcPr>
          <w:p w:rsidR="00C17A1C" w:rsidRPr="004B48E1" w:rsidRDefault="00C17A1C" w:rsidP="00C17A1C">
            <w:pPr>
              <w:pStyle w:val="TableParagraph"/>
              <w:spacing w:line="253" w:lineRule="exact"/>
              <w:ind w:left="1" w:right="73"/>
              <w:rPr>
                <w:rFonts w:ascii="Carlito"/>
                <w:b/>
              </w:rPr>
            </w:pPr>
            <w:r w:rsidRPr="004B48E1">
              <w:rPr>
                <w:rFonts w:ascii="Carlito"/>
                <w:b/>
                <w:spacing w:val="-2"/>
              </w:rPr>
              <w:t>Female</w:t>
            </w:r>
          </w:p>
        </w:tc>
        <w:tc>
          <w:tcPr>
            <w:tcW w:w="1219" w:type="dxa"/>
          </w:tcPr>
          <w:p w:rsidR="00C17A1C" w:rsidRPr="004B48E1" w:rsidRDefault="00C17A1C" w:rsidP="00C17A1C">
            <w:pPr>
              <w:pStyle w:val="TableParagraph"/>
              <w:spacing w:line="253" w:lineRule="exact"/>
              <w:ind w:left="4" w:right="73"/>
              <w:rPr>
                <w:rFonts w:ascii="Carlito"/>
              </w:rPr>
            </w:pPr>
            <w:r w:rsidRPr="004B48E1">
              <w:rPr>
                <w:rFonts w:ascii="Carlito"/>
                <w:spacing w:val="-5"/>
              </w:rPr>
              <w:t>17</w:t>
            </w:r>
          </w:p>
        </w:tc>
        <w:tc>
          <w:tcPr>
            <w:tcW w:w="1207" w:type="dxa"/>
          </w:tcPr>
          <w:p w:rsidR="00C17A1C" w:rsidRPr="004B48E1" w:rsidRDefault="00C17A1C" w:rsidP="00C17A1C">
            <w:pPr>
              <w:pStyle w:val="TableParagraph"/>
              <w:spacing w:line="253" w:lineRule="exact"/>
              <w:ind w:left="2" w:right="73"/>
              <w:rPr>
                <w:rFonts w:ascii="Carlito"/>
              </w:rPr>
            </w:pPr>
            <w:r w:rsidRPr="004B48E1">
              <w:rPr>
                <w:rFonts w:ascii="Carlito"/>
                <w:spacing w:val="-5"/>
              </w:rPr>
              <w:t>27</w:t>
            </w:r>
          </w:p>
        </w:tc>
        <w:tc>
          <w:tcPr>
            <w:tcW w:w="1246" w:type="dxa"/>
          </w:tcPr>
          <w:p w:rsidR="00C17A1C" w:rsidRPr="004B48E1" w:rsidRDefault="00C17A1C" w:rsidP="00C17A1C">
            <w:pPr>
              <w:pStyle w:val="TableParagraph"/>
              <w:spacing w:line="253" w:lineRule="exact"/>
              <w:ind w:left="9" w:right="79"/>
              <w:rPr>
                <w:rFonts w:ascii="Carlito"/>
              </w:rPr>
            </w:pPr>
            <w:r w:rsidRPr="004B48E1">
              <w:rPr>
                <w:rFonts w:ascii="Carlito"/>
                <w:spacing w:val="-5"/>
              </w:rPr>
              <w:t>46%</w:t>
            </w:r>
          </w:p>
        </w:tc>
        <w:tc>
          <w:tcPr>
            <w:tcW w:w="1302" w:type="dxa"/>
          </w:tcPr>
          <w:p w:rsidR="00C17A1C" w:rsidRPr="004B48E1" w:rsidRDefault="00C17A1C" w:rsidP="00C17A1C">
            <w:pPr>
              <w:pStyle w:val="TableParagraph"/>
              <w:spacing w:line="253" w:lineRule="exact"/>
              <w:ind w:left="11" w:right="81"/>
              <w:rPr>
                <w:rFonts w:ascii="Carlito"/>
              </w:rPr>
            </w:pPr>
            <w:r w:rsidRPr="004B48E1">
              <w:rPr>
                <w:rFonts w:ascii="Carlito"/>
                <w:spacing w:val="-5"/>
              </w:rPr>
              <w:t>54%</w:t>
            </w:r>
          </w:p>
        </w:tc>
      </w:tr>
      <w:tr w:rsidR="00C17A1C" w:rsidRPr="004B48E1" w:rsidTr="00C17A1C">
        <w:trPr>
          <w:trHeight w:val="287"/>
        </w:trPr>
        <w:tc>
          <w:tcPr>
            <w:tcW w:w="2031" w:type="dxa"/>
          </w:tcPr>
          <w:p w:rsidR="00C17A1C" w:rsidRPr="004B48E1" w:rsidRDefault="00C17A1C" w:rsidP="00C17A1C">
            <w:pPr>
              <w:pStyle w:val="TableParagraph"/>
              <w:spacing w:line="268" w:lineRule="exact"/>
              <w:ind w:right="73"/>
              <w:rPr>
                <w:rFonts w:ascii="Carlito"/>
                <w:b/>
              </w:rPr>
            </w:pPr>
            <w:r w:rsidRPr="004B48E1">
              <w:rPr>
                <w:rFonts w:ascii="Carlito"/>
                <w:b/>
                <w:spacing w:val="-2"/>
              </w:rPr>
              <w:t>Total</w:t>
            </w:r>
          </w:p>
        </w:tc>
        <w:tc>
          <w:tcPr>
            <w:tcW w:w="1219" w:type="dxa"/>
          </w:tcPr>
          <w:p w:rsidR="00C17A1C" w:rsidRPr="004B48E1" w:rsidRDefault="00C17A1C" w:rsidP="00C17A1C">
            <w:pPr>
              <w:pStyle w:val="TableParagraph"/>
              <w:spacing w:line="268" w:lineRule="exact"/>
              <w:ind w:left="4" w:right="73"/>
              <w:rPr>
                <w:rFonts w:ascii="Carlito"/>
              </w:rPr>
            </w:pPr>
            <w:r w:rsidRPr="004B48E1">
              <w:rPr>
                <w:rFonts w:ascii="Carlito"/>
                <w:spacing w:val="-5"/>
              </w:rPr>
              <w:t>50</w:t>
            </w:r>
          </w:p>
        </w:tc>
        <w:tc>
          <w:tcPr>
            <w:tcW w:w="1207" w:type="dxa"/>
          </w:tcPr>
          <w:p w:rsidR="00C17A1C" w:rsidRPr="004B48E1" w:rsidRDefault="00C17A1C" w:rsidP="00C17A1C">
            <w:pPr>
              <w:pStyle w:val="TableParagraph"/>
              <w:spacing w:line="268" w:lineRule="exact"/>
              <w:ind w:left="2" w:right="73"/>
              <w:rPr>
                <w:rFonts w:ascii="Carlito"/>
              </w:rPr>
            </w:pPr>
            <w:r w:rsidRPr="004B48E1">
              <w:rPr>
                <w:rFonts w:ascii="Carlito"/>
                <w:spacing w:val="-5"/>
              </w:rPr>
              <w:t>50</w:t>
            </w:r>
          </w:p>
        </w:tc>
        <w:tc>
          <w:tcPr>
            <w:tcW w:w="1246" w:type="dxa"/>
          </w:tcPr>
          <w:p w:rsidR="00C17A1C" w:rsidRPr="004B48E1" w:rsidRDefault="00C17A1C" w:rsidP="00C17A1C">
            <w:pPr>
              <w:pStyle w:val="TableParagraph"/>
              <w:spacing w:line="268" w:lineRule="exact"/>
              <w:ind w:left="11" w:right="79"/>
              <w:rPr>
                <w:rFonts w:ascii="Carlito"/>
              </w:rPr>
            </w:pPr>
            <w:r w:rsidRPr="004B48E1">
              <w:rPr>
                <w:rFonts w:ascii="Carlito"/>
                <w:spacing w:val="-4"/>
              </w:rPr>
              <w:t>100%</w:t>
            </w:r>
          </w:p>
        </w:tc>
        <w:tc>
          <w:tcPr>
            <w:tcW w:w="1302" w:type="dxa"/>
          </w:tcPr>
          <w:p w:rsidR="00C17A1C" w:rsidRPr="004B48E1" w:rsidRDefault="00C17A1C" w:rsidP="00C17A1C">
            <w:pPr>
              <w:pStyle w:val="TableParagraph"/>
              <w:spacing w:line="268" w:lineRule="exact"/>
              <w:ind w:left="14" w:right="81"/>
              <w:rPr>
                <w:rFonts w:ascii="Carlito"/>
              </w:rPr>
            </w:pPr>
            <w:r w:rsidRPr="004B48E1">
              <w:rPr>
                <w:rFonts w:ascii="Carlito"/>
                <w:spacing w:val="-4"/>
              </w:rPr>
              <w:t>100%</w:t>
            </w:r>
          </w:p>
        </w:tc>
      </w:tr>
    </w:tbl>
    <w:p w:rsidR="00C17A1C" w:rsidRDefault="00C17A1C" w:rsidP="00EF6463">
      <w:pPr>
        <w:tabs>
          <w:tab w:val="left" w:pos="2940"/>
        </w:tabs>
        <w:jc w:val="center"/>
        <w:rPr>
          <w:rFonts w:asciiTheme="majorBidi" w:hAnsiTheme="majorBidi" w:cs="B Lotus"/>
          <w:sz w:val="24"/>
          <w:szCs w:val="24"/>
        </w:rPr>
      </w:pPr>
    </w:p>
    <w:p w:rsidR="00C17A1C" w:rsidRDefault="00C17A1C" w:rsidP="00EF6463">
      <w:pPr>
        <w:tabs>
          <w:tab w:val="left" w:pos="2940"/>
        </w:tabs>
        <w:jc w:val="center"/>
        <w:rPr>
          <w:rFonts w:asciiTheme="majorBidi" w:hAnsiTheme="majorBidi" w:cs="B Lotus"/>
          <w:sz w:val="24"/>
          <w:szCs w:val="24"/>
        </w:rPr>
      </w:pPr>
    </w:p>
    <w:p w:rsidR="00C17A1C" w:rsidRDefault="00C17A1C" w:rsidP="00EF6463">
      <w:pPr>
        <w:tabs>
          <w:tab w:val="left" w:pos="2940"/>
        </w:tabs>
        <w:jc w:val="center"/>
        <w:rPr>
          <w:rFonts w:asciiTheme="majorBidi" w:hAnsiTheme="majorBidi" w:cs="B Lotus"/>
          <w:sz w:val="24"/>
          <w:szCs w:val="24"/>
        </w:rPr>
      </w:pPr>
    </w:p>
    <w:p w:rsidR="00C17A1C" w:rsidRDefault="00C17A1C" w:rsidP="00EF6463">
      <w:pPr>
        <w:tabs>
          <w:tab w:val="left" w:pos="2940"/>
        </w:tabs>
        <w:jc w:val="center"/>
        <w:rPr>
          <w:rFonts w:asciiTheme="majorBidi" w:hAnsiTheme="majorBidi" w:cs="B Lotus"/>
          <w:sz w:val="24"/>
          <w:szCs w:val="24"/>
        </w:rPr>
      </w:pPr>
    </w:p>
    <w:p w:rsidR="00C24893" w:rsidRDefault="00C24893" w:rsidP="00775CFF">
      <w:pPr>
        <w:tabs>
          <w:tab w:val="left" w:pos="2940"/>
        </w:tabs>
        <w:jc w:val="both"/>
        <w:rPr>
          <w:rFonts w:asciiTheme="majorBidi" w:hAnsiTheme="majorBidi" w:cs="B Lotus"/>
          <w:sz w:val="24"/>
          <w:szCs w:val="24"/>
        </w:rPr>
      </w:pPr>
    </w:p>
    <w:p w:rsidR="00C17A1C" w:rsidRDefault="00C17A1C" w:rsidP="00775CFF">
      <w:pPr>
        <w:tabs>
          <w:tab w:val="left" w:pos="2940"/>
        </w:tabs>
        <w:jc w:val="both"/>
        <w:rPr>
          <w:rFonts w:asciiTheme="majorBidi" w:hAnsiTheme="majorBidi" w:cs="B Lotus"/>
          <w:sz w:val="24"/>
          <w:szCs w:val="24"/>
        </w:rPr>
      </w:pPr>
    </w:p>
    <w:p w:rsidR="00C17A1C" w:rsidRDefault="00C17A1C" w:rsidP="004731C2">
      <w:pPr>
        <w:tabs>
          <w:tab w:val="left" w:pos="2940"/>
        </w:tabs>
        <w:spacing w:line="240" w:lineRule="auto"/>
        <w:jc w:val="center"/>
        <w:rPr>
          <w:rFonts w:asciiTheme="majorBidi" w:hAnsiTheme="majorBidi" w:cs="B Lotus"/>
          <w:sz w:val="24"/>
          <w:szCs w:val="24"/>
        </w:rPr>
      </w:pPr>
    </w:p>
    <w:p w:rsidR="009E3CA0" w:rsidRDefault="00C24893" w:rsidP="004731C2">
      <w:pPr>
        <w:tabs>
          <w:tab w:val="left" w:pos="2940"/>
        </w:tabs>
        <w:spacing w:line="240" w:lineRule="auto"/>
        <w:jc w:val="center"/>
        <w:rPr>
          <w:rFonts w:asciiTheme="majorBidi" w:hAnsiTheme="majorBidi" w:cs="B Lotus"/>
          <w:sz w:val="24"/>
          <w:szCs w:val="24"/>
        </w:rPr>
      </w:pPr>
      <w:r w:rsidRPr="004B48E1">
        <w:rPr>
          <w:noProof/>
          <w:lang w:bidi="fa-IR"/>
        </w:rPr>
        <w:lastRenderedPageBreak/>
        <w:drawing>
          <wp:anchor distT="0" distB="0" distL="0" distR="0" simplePos="0" relativeHeight="251743232" behindDoc="1" locked="0" layoutInCell="1" allowOverlap="1">
            <wp:simplePos x="0" y="0"/>
            <wp:positionH relativeFrom="page">
              <wp:posOffset>2082800</wp:posOffset>
            </wp:positionH>
            <wp:positionV relativeFrom="paragraph">
              <wp:posOffset>-506730</wp:posOffset>
            </wp:positionV>
            <wp:extent cx="3529965" cy="2353310"/>
            <wp:effectExtent l="1905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3529965" cy="2353310"/>
                    </a:xfrm>
                    <a:prstGeom prst="rect">
                      <a:avLst/>
                    </a:prstGeom>
                  </pic:spPr>
                </pic:pic>
              </a:graphicData>
            </a:graphic>
          </wp:anchor>
        </w:drawing>
      </w:r>
      <w:r w:rsidR="009E3CA0">
        <w:rPr>
          <w:rFonts w:asciiTheme="majorBidi" w:hAnsiTheme="majorBidi" w:cs="B Lotus"/>
          <w:sz w:val="24"/>
          <w:szCs w:val="24"/>
        </w:rPr>
        <w:t xml:space="preserve"> </w:t>
      </w:r>
      <w:r w:rsidRPr="004B48E1">
        <w:rPr>
          <w:rFonts w:asciiTheme="majorBidi" w:hAnsiTheme="majorBidi" w:cs="B Lotus"/>
          <w:sz w:val="24"/>
          <w:szCs w:val="24"/>
        </w:rPr>
        <w:t>Chart 1</w:t>
      </w:r>
      <w:r w:rsidR="00EF6463">
        <w:rPr>
          <w:rFonts w:asciiTheme="majorBidi" w:hAnsiTheme="majorBidi" w:cs="B Lotus"/>
          <w:sz w:val="24"/>
          <w:szCs w:val="24"/>
        </w:rPr>
        <w:t>.</w:t>
      </w:r>
      <w:r w:rsidRPr="004B48E1">
        <w:rPr>
          <w:rFonts w:asciiTheme="majorBidi" w:hAnsiTheme="majorBidi" w:cs="B Lotus"/>
          <w:sz w:val="24"/>
          <w:szCs w:val="24"/>
        </w:rPr>
        <w:t xml:space="preserve"> Frequency distribution of gender within the healthy </w:t>
      </w:r>
    </w:p>
    <w:p w:rsidR="00C24893" w:rsidRDefault="00C24893" w:rsidP="004731C2">
      <w:pPr>
        <w:tabs>
          <w:tab w:val="left" w:pos="2940"/>
        </w:tabs>
        <w:spacing w:line="240" w:lineRule="auto"/>
        <w:jc w:val="center"/>
        <w:rPr>
          <w:rFonts w:asciiTheme="majorBidi" w:hAnsiTheme="majorBidi" w:cs="B Lotus"/>
          <w:sz w:val="24"/>
          <w:szCs w:val="24"/>
        </w:rPr>
      </w:pPr>
      <w:r w:rsidRPr="004B48E1">
        <w:rPr>
          <w:rFonts w:asciiTheme="majorBidi" w:hAnsiTheme="majorBidi" w:cs="B Lotus"/>
          <w:sz w:val="24"/>
          <w:szCs w:val="24"/>
        </w:rPr>
        <w:t>and diseased group</w:t>
      </w:r>
    </w:p>
    <w:p w:rsidR="005819C0" w:rsidRPr="004B48E1" w:rsidRDefault="005819C0" w:rsidP="004731C2">
      <w:pPr>
        <w:tabs>
          <w:tab w:val="left" w:pos="2940"/>
        </w:tabs>
        <w:spacing w:line="240" w:lineRule="auto"/>
        <w:jc w:val="center"/>
        <w:rPr>
          <w:rFonts w:asciiTheme="majorBidi" w:hAnsiTheme="majorBidi" w:cs="B Lotus"/>
          <w:sz w:val="24"/>
          <w:szCs w:val="24"/>
        </w:rPr>
      </w:pPr>
    </w:p>
    <w:p w:rsidR="00D13916" w:rsidRDefault="008659B6" w:rsidP="005819C0">
      <w:pPr>
        <w:tabs>
          <w:tab w:val="left" w:pos="2940"/>
        </w:tabs>
        <w:spacing w:line="360" w:lineRule="auto"/>
        <w:jc w:val="both"/>
        <w:rPr>
          <w:rFonts w:asciiTheme="majorBidi" w:hAnsiTheme="majorBidi" w:cs="B Lotus"/>
          <w:sz w:val="24"/>
          <w:szCs w:val="24"/>
        </w:rPr>
      </w:pPr>
      <w:r w:rsidRPr="004B48E1">
        <w:rPr>
          <w:rFonts w:asciiTheme="majorBidi" w:hAnsiTheme="majorBidi" w:cs="B Lotus"/>
          <w:sz w:val="24"/>
          <w:szCs w:val="24"/>
        </w:rPr>
        <w:t>The samples of extracted DNA were analyzed using a spectrophotometer; in most cases, the samples had desirable quality and the ratio 260/280 was appropriate among 1.8 to 2. After performing PCR on this sample to determine papillomavirus types 16 and 18, it was found that the frequency of human papillomavirus types 16 and 18 in gastric carcinoma patients</w:t>
      </w:r>
      <w:r w:rsidR="00EF6463">
        <w:rPr>
          <w:rFonts w:asciiTheme="majorBidi" w:hAnsiTheme="majorBidi" w:cs="B Lotus"/>
          <w:sz w:val="24"/>
          <w:szCs w:val="24"/>
        </w:rPr>
        <w:t xml:space="preserve"> </w:t>
      </w:r>
      <w:r w:rsidR="009E3CA0" w:rsidRPr="00685D17">
        <w:rPr>
          <w:rFonts w:asciiTheme="majorBidi" w:hAnsiTheme="majorBidi" w:cs="B Lotus"/>
          <w:sz w:val="24"/>
          <w:szCs w:val="24"/>
        </w:rPr>
        <w:t>studied</w:t>
      </w:r>
      <w:r w:rsidRPr="004B48E1">
        <w:rPr>
          <w:rFonts w:asciiTheme="majorBidi" w:hAnsiTheme="majorBidi" w:cs="B Lotus"/>
          <w:sz w:val="24"/>
          <w:szCs w:val="24"/>
        </w:rPr>
        <w:t xml:space="preserve"> is zero.</w:t>
      </w:r>
    </w:p>
    <w:p w:rsidR="00666FBC" w:rsidRPr="00666FBC" w:rsidRDefault="003D444D" w:rsidP="00666FBC">
      <w:pPr>
        <w:tabs>
          <w:tab w:val="left" w:pos="2940"/>
        </w:tabs>
        <w:jc w:val="both"/>
        <w:rPr>
          <w:rFonts w:asciiTheme="majorBidi" w:hAnsiTheme="majorBidi" w:cs="B Lotus"/>
          <w:sz w:val="24"/>
          <w:szCs w:val="24"/>
          <w:lang w:bidi="fa-IR"/>
        </w:rPr>
      </w:pPr>
      <w:r>
        <w:rPr>
          <w:rFonts w:asciiTheme="majorBidi" w:hAnsiTheme="majorBidi" w:cs="B Lotus"/>
          <w:noProof/>
          <w:sz w:val="24"/>
          <w:szCs w:val="24"/>
          <w:lang w:bidi="fa-IR"/>
        </w:rPr>
        <w:pict>
          <v:rect id="_x0000_s1039" style="position:absolute;left:0;text-align:left;margin-left:128.95pt;margin-top:1.8pt;width:240.45pt;height:17.5pt;z-index:251748352" stroked="f">
            <v:textbox style="mso-next-textbox:#_x0000_s1039">
              <w:txbxContent>
                <w:p w:rsidR="00FD240F" w:rsidRDefault="00FD240F" w:rsidP="00666FBC">
                  <w:pPr>
                    <w:bidi/>
                    <w:rPr>
                      <w:rtl/>
                      <w:lang w:bidi="fa-IR"/>
                    </w:rPr>
                  </w:pPr>
                  <w:r>
                    <w:rPr>
                      <w:rFonts w:asciiTheme="majorBidi" w:hAnsiTheme="majorBidi" w:cs="B Lotus" w:hint="cs"/>
                      <w:sz w:val="24"/>
                      <w:szCs w:val="24"/>
                      <w:rtl/>
                      <w:lang w:bidi="fa-IR"/>
                    </w:rPr>
                    <w:t xml:space="preserve">        </w:t>
                  </w:r>
                  <w:r>
                    <w:rPr>
                      <w:rFonts w:asciiTheme="majorBidi" w:hAnsiTheme="majorBidi" w:cs="B Lotus"/>
                      <w:sz w:val="24"/>
                      <w:szCs w:val="24"/>
                      <w:lang w:bidi="fa-IR"/>
                    </w:rPr>
                    <w:t>5      4        3      2         1</w:t>
                  </w:r>
                </w:p>
              </w:txbxContent>
            </v:textbox>
            <w10:wrap anchorx="page"/>
          </v:rect>
        </w:pict>
      </w:r>
    </w:p>
    <w:p w:rsidR="007D2957" w:rsidRPr="004B48E1" w:rsidRDefault="007D2957" w:rsidP="005819C0">
      <w:pPr>
        <w:tabs>
          <w:tab w:val="left" w:pos="2940"/>
        </w:tabs>
        <w:jc w:val="center"/>
        <w:rPr>
          <w:rFonts w:asciiTheme="majorBidi" w:hAnsiTheme="majorBidi" w:cs="B Lotus"/>
          <w:sz w:val="24"/>
          <w:szCs w:val="24"/>
        </w:rPr>
      </w:pPr>
      <w:r w:rsidRPr="004B48E1">
        <w:rPr>
          <w:rFonts w:ascii="Times New Roman" w:eastAsia="Times New Roman" w:hAnsi="Times New Roman" w:cs="Times New Roman"/>
          <w:noProof/>
          <w:kern w:val="0"/>
          <w:sz w:val="20"/>
          <w:lang w:bidi="fa-IR"/>
        </w:rPr>
        <w:drawing>
          <wp:anchor distT="0" distB="0" distL="114300" distR="114300" simplePos="0" relativeHeight="251747328" behindDoc="0" locked="0" layoutInCell="1" allowOverlap="1">
            <wp:simplePos x="0" y="0"/>
            <wp:positionH relativeFrom="column">
              <wp:posOffset>1552575</wp:posOffset>
            </wp:positionH>
            <wp:positionV relativeFrom="paragraph">
              <wp:align>top</wp:align>
            </wp:positionV>
            <wp:extent cx="3165475" cy="2829560"/>
            <wp:effectExtent l="0" t="0" r="0" b="8890"/>
            <wp:wrapSquare wrapText="bothSides"/>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65475" cy="2829560"/>
                    </a:xfrm>
                    <a:prstGeom prst="rect">
                      <a:avLst/>
                    </a:prstGeom>
                  </pic:spPr>
                </pic:pic>
              </a:graphicData>
            </a:graphic>
          </wp:anchor>
        </w:drawing>
      </w:r>
      <w:r w:rsidR="003C5B9F" w:rsidRPr="004B48E1">
        <w:rPr>
          <w:rFonts w:asciiTheme="majorBidi" w:hAnsiTheme="majorBidi" w:cs="B Lotus"/>
          <w:sz w:val="24"/>
          <w:szCs w:val="24"/>
        </w:rPr>
        <w:br w:type="textWrapping" w:clear="all"/>
      </w:r>
      <w:r w:rsidR="005819C0">
        <w:rPr>
          <w:rFonts w:asciiTheme="majorBidi" w:hAnsiTheme="majorBidi" w:cs="B Lotus"/>
          <w:sz w:val="24"/>
          <w:szCs w:val="24"/>
        </w:rPr>
        <w:t xml:space="preserve">                          </w:t>
      </w:r>
      <w:r w:rsidRPr="004B48E1">
        <w:rPr>
          <w:rFonts w:asciiTheme="majorBidi" w:hAnsiTheme="majorBidi" w:cs="B Lotus"/>
          <w:sz w:val="24"/>
          <w:szCs w:val="24"/>
        </w:rPr>
        <w:t>Figure1</w:t>
      </w:r>
      <w:r w:rsidR="00B44531">
        <w:rPr>
          <w:rFonts w:asciiTheme="majorBidi" w:hAnsiTheme="majorBidi" w:cs="B Lotus"/>
          <w:sz w:val="24"/>
          <w:szCs w:val="24"/>
        </w:rPr>
        <w:t>.</w:t>
      </w:r>
      <w:r w:rsidR="009E3CA0" w:rsidRPr="004B48E1">
        <w:rPr>
          <w:rFonts w:asciiTheme="majorBidi" w:hAnsiTheme="majorBidi" w:cs="B Lotus"/>
          <w:sz w:val="24"/>
          <w:szCs w:val="24"/>
        </w:rPr>
        <w:t xml:space="preserve"> Gel</w:t>
      </w:r>
      <w:r w:rsidRPr="004B48E1">
        <w:rPr>
          <w:rFonts w:asciiTheme="majorBidi" w:hAnsiTheme="majorBidi" w:cs="B Lotus"/>
          <w:sz w:val="24"/>
          <w:szCs w:val="24"/>
        </w:rPr>
        <w:t xml:space="preserve"> electrophoresis of PCR products of HPV 16 and HPV 18</w:t>
      </w:r>
    </w:p>
    <w:p w:rsidR="00324697" w:rsidRPr="004B48E1" w:rsidRDefault="005819C0" w:rsidP="002E6DC7">
      <w:pPr>
        <w:tabs>
          <w:tab w:val="left" w:pos="2940"/>
        </w:tabs>
        <w:jc w:val="center"/>
        <w:rPr>
          <w:rFonts w:asciiTheme="majorBidi" w:hAnsiTheme="majorBidi" w:cs="B Lotus"/>
          <w:sz w:val="24"/>
          <w:szCs w:val="24"/>
        </w:rPr>
      </w:pPr>
      <w:r>
        <w:rPr>
          <w:rFonts w:asciiTheme="majorBidi" w:hAnsiTheme="majorBidi" w:cs="B Lotus"/>
          <w:sz w:val="24"/>
          <w:szCs w:val="24"/>
        </w:rPr>
        <w:t xml:space="preserve">                             </w:t>
      </w:r>
      <w:r w:rsidR="007D2957" w:rsidRPr="004B48E1">
        <w:rPr>
          <w:rFonts w:asciiTheme="majorBidi" w:hAnsiTheme="majorBidi" w:cs="B Lotus"/>
          <w:sz w:val="24"/>
          <w:szCs w:val="24"/>
        </w:rPr>
        <w:t>Lane 1: DNA Ladder; Lane 2</w:t>
      </w:r>
      <w:r w:rsidR="00B44531" w:rsidRPr="004B48E1">
        <w:rPr>
          <w:rFonts w:asciiTheme="majorBidi" w:hAnsiTheme="majorBidi" w:cs="B Lotus"/>
          <w:sz w:val="24"/>
          <w:szCs w:val="24"/>
        </w:rPr>
        <w:t>, 3</w:t>
      </w:r>
      <w:r w:rsidR="007D2957" w:rsidRPr="004B48E1">
        <w:rPr>
          <w:rFonts w:asciiTheme="majorBidi" w:hAnsiTheme="majorBidi" w:cs="B Lotus"/>
          <w:sz w:val="24"/>
          <w:szCs w:val="24"/>
        </w:rPr>
        <w:t xml:space="preserve">: Positive control for </w:t>
      </w:r>
      <w:r w:rsidR="00B44531" w:rsidRPr="004B48E1">
        <w:rPr>
          <w:rFonts w:asciiTheme="majorBidi" w:hAnsiTheme="majorBidi" w:cs="B Lotus"/>
          <w:sz w:val="24"/>
          <w:szCs w:val="24"/>
        </w:rPr>
        <w:t>H</w:t>
      </w:r>
      <w:r w:rsidR="007D2957" w:rsidRPr="004B48E1">
        <w:rPr>
          <w:rFonts w:asciiTheme="majorBidi" w:hAnsiTheme="majorBidi" w:cs="B Lotus"/>
          <w:sz w:val="24"/>
          <w:szCs w:val="24"/>
        </w:rPr>
        <w:t xml:space="preserve">pv16 and </w:t>
      </w:r>
      <w:r w:rsidR="00B44531" w:rsidRPr="004B48E1">
        <w:rPr>
          <w:rFonts w:asciiTheme="majorBidi" w:hAnsiTheme="majorBidi" w:cs="B Lotus"/>
          <w:sz w:val="24"/>
          <w:szCs w:val="24"/>
        </w:rPr>
        <w:t>H</w:t>
      </w:r>
      <w:r w:rsidR="007D2957" w:rsidRPr="004B48E1">
        <w:rPr>
          <w:rFonts w:asciiTheme="majorBidi" w:hAnsiTheme="majorBidi" w:cs="B Lotus"/>
          <w:sz w:val="24"/>
          <w:szCs w:val="24"/>
        </w:rPr>
        <w:t>pv18,</w:t>
      </w:r>
      <w:r w:rsidR="002E6DC7">
        <w:rPr>
          <w:rFonts w:asciiTheme="majorBidi" w:hAnsiTheme="majorBidi" w:cs="B Lotus"/>
          <w:sz w:val="24"/>
          <w:szCs w:val="24"/>
        </w:rPr>
        <w:t xml:space="preserve"> </w:t>
      </w:r>
      <w:r w:rsidR="007D2957" w:rsidRPr="004B48E1">
        <w:rPr>
          <w:rFonts w:asciiTheme="majorBidi" w:hAnsiTheme="majorBidi" w:cs="B Lotus"/>
          <w:sz w:val="24"/>
          <w:szCs w:val="24"/>
        </w:rPr>
        <w:t>respectively;</w:t>
      </w:r>
    </w:p>
    <w:p w:rsidR="007D2957" w:rsidRPr="004B48E1" w:rsidRDefault="002E6DC7" w:rsidP="004731C2">
      <w:pPr>
        <w:tabs>
          <w:tab w:val="left" w:pos="2940"/>
        </w:tabs>
        <w:rPr>
          <w:rFonts w:asciiTheme="majorBidi" w:hAnsiTheme="majorBidi" w:cs="B Lotus"/>
          <w:sz w:val="24"/>
          <w:szCs w:val="24"/>
        </w:rPr>
      </w:pPr>
      <w:r>
        <w:rPr>
          <w:rFonts w:asciiTheme="majorBidi" w:hAnsiTheme="majorBidi" w:cs="B Lotus"/>
          <w:sz w:val="24"/>
          <w:szCs w:val="24"/>
        </w:rPr>
        <w:t xml:space="preserve">                     </w:t>
      </w:r>
      <w:r w:rsidR="005819C0">
        <w:rPr>
          <w:rFonts w:asciiTheme="majorBidi" w:hAnsiTheme="majorBidi" w:cs="B Lotus"/>
          <w:sz w:val="24"/>
          <w:szCs w:val="24"/>
        </w:rPr>
        <w:t xml:space="preserve">             </w:t>
      </w:r>
      <w:r w:rsidR="007D2957" w:rsidRPr="004B48E1">
        <w:rPr>
          <w:rFonts w:asciiTheme="majorBidi" w:hAnsiTheme="majorBidi" w:cs="B Lotus"/>
          <w:sz w:val="24"/>
          <w:szCs w:val="24"/>
        </w:rPr>
        <w:t>Lane 4: Negative control;</w:t>
      </w:r>
      <w:r w:rsidR="004731C2">
        <w:rPr>
          <w:rFonts w:asciiTheme="majorBidi" w:hAnsiTheme="majorBidi" w:cs="B Lotus"/>
          <w:sz w:val="24"/>
          <w:szCs w:val="24"/>
        </w:rPr>
        <w:t xml:space="preserve"> </w:t>
      </w:r>
      <w:r w:rsidR="007D2957" w:rsidRPr="004B48E1">
        <w:rPr>
          <w:rFonts w:asciiTheme="majorBidi" w:hAnsiTheme="majorBidi" w:cs="B Lotus"/>
          <w:sz w:val="24"/>
          <w:szCs w:val="24"/>
        </w:rPr>
        <w:t>Lane 5: Blank (no sample determined)</w:t>
      </w:r>
    </w:p>
    <w:p w:rsidR="004F3095" w:rsidRPr="004B48E1" w:rsidRDefault="004F3095" w:rsidP="007D2957">
      <w:pPr>
        <w:tabs>
          <w:tab w:val="left" w:pos="2940"/>
        </w:tabs>
        <w:jc w:val="center"/>
        <w:rPr>
          <w:rFonts w:ascii="Times New Roman" w:eastAsia="Times New Roman" w:hAnsi="Times New Roman" w:cs="Times New Roman"/>
          <w:noProof/>
          <w:kern w:val="0"/>
          <w:sz w:val="20"/>
        </w:rPr>
      </w:pPr>
    </w:p>
    <w:p w:rsidR="004F3095" w:rsidRPr="004B48E1" w:rsidRDefault="004F3095" w:rsidP="007D2957">
      <w:pPr>
        <w:tabs>
          <w:tab w:val="left" w:pos="2940"/>
        </w:tabs>
        <w:jc w:val="center"/>
        <w:rPr>
          <w:rFonts w:ascii="Times New Roman" w:eastAsia="Times New Roman" w:hAnsi="Times New Roman" w:cs="Times New Roman"/>
          <w:noProof/>
          <w:kern w:val="0"/>
          <w:sz w:val="20"/>
        </w:rPr>
      </w:pPr>
    </w:p>
    <w:p w:rsidR="004F3095" w:rsidRPr="004B48E1" w:rsidRDefault="004F3095" w:rsidP="00666FBC">
      <w:pPr>
        <w:rPr>
          <w:rFonts w:ascii="Times New Roman" w:eastAsia="Times New Roman" w:hAnsi="Times New Roman" w:cs="Times New Roman"/>
          <w:noProof/>
          <w:kern w:val="0"/>
          <w:sz w:val="20"/>
        </w:rPr>
      </w:pPr>
      <w:r w:rsidRPr="004B48E1">
        <w:rPr>
          <w:rFonts w:ascii="Times New Roman" w:eastAsia="Times New Roman" w:hAnsi="Times New Roman" w:cs="Times New Roman"/>
          <w:noProof/>
          <w:kern w:val="0"/>
          <w:sz w:val="20"/>
        </w:rPr>
        <w:tab/>
      </w:r>
      <w:r w:rsidR="00666FBC">
        <w:rPr>
          <w:rFonts w:ascii="Times New Roman" w:eastAsia="Times New Roman" w:hAnsi="Times New Roman" w:cs="Times New Roman"/>
          <w:noProof/>
          <w:kern w:val="0"/>
          <w:sz w:val="20"/>
        </w:rPr>
        <w:tab/>
      </w:r>
      <w:r w:rsidR="00666FBC">
        <w:rPr>
          <w:rFonts w:ascii="Times New Roman" w:eastAsia="Times New Roman" w:hAnsi="Times New Roman" w:cs="Times New Roman"/>
          <w:noProof/>
          <w:kern w:val="0"/>
          <w:sz w:val="20"/>
        </w:rPr>
        <w:tab/>
      </w:r>
      <w:r w:rsidR="00666FBC">
        <w:rPr>
          <w:rFonts w:ascii="Times New Roman" w:eastAsia="Times New Roman" w:hAnsi="Times New Roman" w:cs="Times New Roman"/>
          <w:noProof/>
          <w:kern w:val="0"/>
          <w:sz w:val="20"/>
        </w:rPr>
        <w:tab/>
        <w:t>1         2            3              4           5           6            7</w:t>
      </w:r>
      <w:r w:rsidRPr="004B48E1">
        <w:rPr>
          <w:rFonts w:ascii="Times New Roman" w:eastAsia="Times New Roman" w:hAnsi="Times New Roman" w:cs="Times New Roman"/>
          <w:noProof/>
          <w:kern w:val="0"/>
          <w:sz w:val="20"/>
        </w:rPr>
        <w:tab/>
      </w:r>
      <w:r w:rsidRPr="004B48E1">
        <w:rPr>
          <w:rFonts w:ascii="Times New Roman" w:eastAsia="Times New Roman" w:hAnsi="Times New Roman" w:cs="Times New Roman"/>
          <w:noProof/>
          <w:kern w:val="0"/>
          <w:sz w:val="20"/>
        </w:rPr>
        <w:tab/>
      </w:r>
    </w:p>
    <w:p w:rsidR="00324697" w:rsidRPr="004B48E1" w:rsidRDefault="00324697" w:rsidP="007D2957">
      <w:pPr>
        <w:tabs>
          <w:tab w:val="left" w:pos="2940"/>
        </w:tabs>
        <w:jc w:val="center"/>
        <w:rPr>
          <w:rFonts w:asciiTheme="majorBidi" w:hAnsiTheme="majorBidi" w:cs="B Lotus"/>
          <w:sz w:val="24"/>
          <w:szCs w:val="24"/>
        </w:rPr>
      </w:pPr>
      <w:r w:rsidRPr="004B48E1">
        <w:rPr>
          <w:rFonts w:ascii="Times New Roman" w:eastAsia="Times New Roman" w:hAnsi="Times New Roman" w:cs="Times New Roman"/>
          <w:noProof/>
          <w:kern w:val="0"/>
          <w:sz w:val="20"/>
          <w:lang w:bidi="fa-IR"/>
        </w:rPr>
        <w:drawing>
          <wp:inline distT="0" distB="0" distL="0" distR="0">
            <wp:extent cx="3376020" cy="241820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3376020" cy="2418206"/>
                    </a:xfrm>
                    <a:prstGeom prst="rect">
                      <a:avLst/>
                    </a:prstGeom>
                  </pic:spPr>
                </pic:pic>
              </a:graphicData>
            </a:graphic>
          </wp:inline>
        </w:drawing>
      </w:r>
    </w:p>
    <w:p w:rsidR="004731C2" w:rsidRDefault="00324697" w:rsidP="00B44531">
      <w:pPr>
        <w:tabs>
          <w:tab w:val="left" w:pos="2940"/>
        </w:tabs>
        <w:jc w:val="center"/>
        <w:rPr>
          <w:rFonts w:asciiTheme="majorBidi" w:hAnsiTheme="majorBidi" w:cs="B Lotus"/>
          <w:sz w:val="24"/>
          <w:szCs w:val="24"/>
        </w:rPr>
      </w:pPr>
      <w:r w:rsidRPr="004B48E1">
        <w:rPr>
          <w:rFonts w:asciiTheme="majorBidi" w:hAnsiTheme="majorBidi" w:cs="B Lotus"/>
          <w:sz w:val="24"/>
          <w:szCs w:val="24"/>
        </w:rPr>
        <w:t>Figure 2</w:t>
      </w:r>
      <w:r w:rsidR="00B44531">
        <w:rPr>
          <w:rFonts w:asciiTheme="majorBidi" w:hAnsiTheme="majorBidi" w:cs="B Lotus"/>
          <w:sz w:val="24"/>
          <w:szCs w:val="24"/>
        </w:rPr>
        <w:t>.</w:t>
      </w:r>
      <w:r w:rsidRPr="004B48E1">
        <w:rPr>
          <w:rFonts w:asciiTheme="majorBidi" w:hAnsiTheme="majorBidi" w:cs="B Lotus"/>
          <w:sz w:val="24"/>
          <w:szCs w:val="24"/>
        </w:rPr>
        <w:t xml:space="preserve"> </w:t>
      </w:r>
      <w:r w:rsidR="00B004FB" w:rsidRPr="004B48E1">
        <w:rPr>
          <w:rFonts w:asciiTheme="majorBidi" w:hAnsiTheme="majorBidi" w:cs="B Lotus"/>
          <w:sz w:val="24"/>
          <w:szCs w:val="24"/>
        </w:rPr>
        <w:t xml:space="preserve">Gel electrophoresisof </w:t>
      </w:r>
      <w:r w:rsidRPr="004B48E1">
        <w:rPr>
          <w:rFonts w:asciiTheme="majorBidi" w:hAnsiTheme="majorBidi" w:cs="B Lotus"/>
          <w:sz w:val="24"/>
          <w:szCs w:val="24"/>
        </w:rPr>
        <w:t xml:space="preserve">PCR products of HPV 16 and HPV 18 </w:t>
      </w:r>
    </w:p>
    <w:p w:rsidR="00324697" w:rsidRPr="004B48E1" w:rsidRDefault="002E6DC7" w:rsidP="002E6DC7">
      <w:pPr>
        <w:tabs>
          <w:tab w:val="left" w:pos="2940"/>
        </w:tabs>
        <w:jc w:val="both"/>
        <w:rPr>
          <w:rFonts w:asciiTheme="majorBidi" w:hAnsiTheme="majorBidi" w:cs="B Lotus"/>
          <w:sz w:val="24"/>
          <w:szCs w:val="24"/>
        </w:rPr>
      </w:pPr>
      <w:r>
        <w:rPr>
          <w:rFonts w:asciiTheme="majorBidi" w:hAnsiTheme="majorBidi" w:cs="B Lotus"/>
          <w:sz w:val="24"/>
          <w:szCs w:val="24"/>
        </w:rPr>
        <w:t xml:space="preserve">                   </w:t>
      </w:r>
      <w:r w:rsidR="00324697" w:rsidRPr="004B48E1">
        <w:rPr>
          <w:rFonts w:asciiTheme="majorBidi" w:hAnsiTheme="majorBidi" w:cs="B Lotus"/>
          <w:sz w:val="24"/>
          <w:szCs w:val="24"/>
        </w:rPr>
        <w:t>Lane 1: DNA Ladder;</w:t>
      </w:r>
      <w:r>
        <w:rPr>
          <w:rFonts w:asciiTheme="majorBidi" w:hAnsiTheme="majorBidi" w:cs="B Lotus"/>
          <w:sz w:val="24"/>
          <w:szCs w:val="24"/>
        </w:rPr>
        <w:t xml:space="preserve"> </w:t>
      </w:r>
      <w:r w:rsidR="00324697" w:rsidRPr="004B48E1">
        <w:rPr>
          <w:rFonts w:asciiTheme="majorBidi" w:hAnsiTheme="majorBidi" w:cs="B Lotus"/>
          <w:sz w:val="24"/>
          <w:szCs w:val="24"/>
        </w:rPr>
        <w:t>Lane 2: Negative control</w:t>
      </w:r>
      <w:r>
        <w:rPr>
          <w:rFonts w:asciiTheme="majorBidi" w:hAnsiTheme="majorBidi" w:cs="B Lotus"/>
          <w:sz w:val="24"/>
          <w:szCs w:val="24"/>
        </w:rPr>
        <w:t xml:space="preserve">; </w:t>
      </w:r>
    </w:p>
    <w:p w:rsidR="00324697" w:rsidRPr="004B48E1" w:rsidRDefault="00324697" w:rsidP="00324697">
      <w:pPr>
        <w:tabs>
          <w:tab w:val="left" w:pos="2940"/>
        </w:tabs>
        <w:jc w:val="center"/>
        <w:rPr>
          <w:rFonts w:asciiTheme="majorBidi" w:hAnsiTheme="majorBidi" w:cs="B Lotus"/>
          <w:sz w:val="24"/>
          <w:szCs w:val="24"/>
        </w:rPr>
      </w:pPr>
      <w:r w:rsidRPr="004B48E1">
        <w:rPr>
          <w:rFonts w:asciiTheme="majorBidi" w:hAnsiTheme="majorBidi" w:cs="B Lotus"/>
          <w:sz w:val="24"/>
          <w:szCs w:val="24"/>
        </w:rPr>
        <w:t>Lane 3,4,5,6 and 7</w:t>
      </w:r>
      <w:r w:rsidR="00BE4C84" w:rsidRPr="004B48E1">
        <w:rPr>
          <w:rFonts w:asciiTheme="majorBidi" w:hAnsiTheme="majorBidi" w:cs="B Lotus"/>
          <w:sz w:val="24"/>
          <w:szCs w:val="24"/>
        </w:rPr>
        <w:t>: Clinical</w:t>
      </w:r>
      <w:r w:rsidR="00F96361" w:rsidRPr="004B48E1">
        <w:rPr>
          <w:rFonts w:asciiTheme="majorBidi" w:hAnsiTheme="majorBidi" w:cs="B Lotus"/>
          <w:sz w:val="24"/>
          <w:szCs w:val="24"/>
        </w:rPr>
        <w:t xml:space="preserve"> samples (</w:t>
      </w:r>
      <w:r w:rsidRPr="004B48E1">
        <w:rPr>
          <w:rFonts w:asciiTheme="majorBidi" w:hAnsiTheme="majorBidi" w:cs="B Lotus"/>
          <w:sz w:val="24"/>
          <w:szCs w:val="24"/>
        </w:rPr>
        <w:t xml:space="preserve">no sample determined for </w:t>
      </w:r>
      <w:r w:rsidR="00BE4C84" w:rsidRPr="004B48E1">
        <w:rPr>
          <w:rFonts w:asciiTheme="majorBidi" w:hAnsiTheme="majorBidi" w:cs="B Lotus"/>
          <w:sz w:val="24"/>
          <w:szCs w:val="24"/>
        </w:rPr>
        <w:t>H</w:t>
      </w:r>
      <w:r w:rsidRPr="004B48E1">
        <w:rPr>
          <w:rFonts w:asciiTheme="majorBidi" w:hAnsiTheme="majorBidi" w:cs="B Lotus"/>
          <w:sz w:val="24"/>
          <w:szCs w:val="24"/>
        </w:rPr>
        <w:t xml:space="preserve">pv16 and </w:t>
      </w:r>
      <w:r w:rsidR="00BE4C84" w:rsidRPr="004B48E1">
        <w:rPr>
          <w:rFonts w:asciiTheme="majorBidi" w:hAnsiTheme="majorBidi" w:cs="B Lotus"/>
          <w:sz w:val="24"/>
          <w:szCs w:val="24"/>
        </w:rPr>
        <w:t>H</w:t>
      </w:r>
      <w:r w:rsidRPr="004B48E1">
        <w:rPr>
          <w:rFonts w:asciiTheme="majorBidi" w:hAnsiTheme="majorBidi" w:cs="B Lotus"/>
          <w:sz w:val="24"/>
          <w:szCs w:val="24"/>
        </w:rPr>
        <w:t>pv18</w:t>
      </w:r>
      <w:r w:rsidR="00F96361" w:rsidRPr="004B48E1">
        <w:rPr>
          <w:rFonts w:asciiTheme="majorBidi" w:hAnsiTheme="majorBidi" w:cs="B Lotus"/>
          <w:sz w:val="24"/>
          <w:szCs w:val="24"/>
        </w:rPr>
        <w:t>)</w:t>
      </w:r>
    </w:p>
    <w:p w:rsidR="00324697" w:rsidRPr="004B48E1" w:rsidRDefault="00324697" w:rsidP="007D2957">
      <w:pPr>
        <w:tabs>
          <w:tab w:val="left" w:pos="2940"/>
        </w:tabs>
        <w:jc w:val="center"/>
        <w:rPr>
          <w:rFonts w:asciiTheme="majorBidi" w:hAnsiTheme="majorBidi" w:cs="B Lotus"/>
          <w:sz w:val="24"/>
          <w:szCs w:val="24"/>
        </w:rPr>
      </w:pPr>
    </w:p>
    <w:p w:rsidR="00324697" w:rsidRPr="004B48E1" w:rsidRDefault="00324697" w:rsidP="007D2957">
      <w:pPr>
        <w:tabs>
          <w:tab w:val="left" w:pos="2940"/>
        </w:tabs>
        <w:jc w:val="center"/>
        <w:rPr>
          <w:rFonts w:asciiTheme="majorBidi" w:hAnsiTheme="majorBidi" w:cs="B Lotus"/>
          <w:sz w:val="24"/>
          <w:szCs w:val="24"/>
        </w:rPr>
      </w:pPr>
    </w:p>
    <w:p w:rsidR="00F162D5" w:rsidRPr="004B48E1" w:rsidRDefault="00F162D5" w:rsidP="00F162D5">
      <w:pPr>
        <w:tabs>
          <w:tab w:val="left" w:pos="2940"/>
        </w:tabs>
        <w:jc w:val="both"/>
        <w:rPr>
          <w:rFonts w:asciiTheme="majorBidi" w:hAnsiTheme="majorBidi" w:cs="B Lotus"/>
          <w:b/>
          <w:bCs/>
          <w:sz w:val="24"/>
          <w:szCs w:val="24"/>
        </w:rPr>
      </w:pPr>
      <w:r w:rsidRPr="004B48E1">
        <w:rPr>
          <w:rFonts w:asciiTheme="majorBidi" w:hAnsiTheme="majorBidi" w:cs="B Lotus"/>
          <w:b/>
          <w:bCs/>
          <w:sz w:val="24"/>
          <w:szCs w:val="24"/>
        </w:rPr>
        <w:t>Discussion</w:t>
      </w:r>
    </w:p>
    <w:p w:rsidR="00E40FDB" w:rsidRPr="004B48E1" w:rsidRDefault="00C32FD1"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 xml:space="preserve">Gastric cancer is the fifth most common cancer with a prevalence of 5.6%. However, it is the fourth leading cause of cancer death in the world (25). </w:t>
      </w:r>
      <w:r w:rsidR="00F162D5" w:rsidRPr="004B48E1">
        <w:rPr>
          <w:rFonts w:asciiTheme="majorBidi" w:hAnsiTheme="majorBidi" w:cs="B Lotus"/>
          <w:sz w:val="24"/>
          <w:szCs w:val="24"/>
        </w:rPr>
        <w:t xml:space="preserve">The occurrence of cancers is directly related to environmental factors. Although the etiological factors of gastric cancer are not fully known yet, many environmental and individual factors such as age, gender, blood type, heredity, diet, and geographic region are among the possible risk factors of this cancer. Gastric cancer is one of the most common cancers of the digestive tract and is one of the most common types of cancer in </w:t>
      </w:r>
      <w:r w:rsidR="004F0491" w:rsidRPr="004B48E1">
        <w:rPr>
          <w:rFonts w:asciiTheme="majorBidi" w:hAnsiTheme="majorBidi" w:cs="B Lotus"/>
          <w:sz w:val="24"/>
          <w:szCs w:val="24"/>
        </w:rPr>
        <w:t>the north and northwest of Iran (26).The age-standardized inc</w:t>
      </w:r>
      <w:r w:rsidR="004F3095" w:rsidRPr="004B48E1">
        <w:rPr>
          <w:rFonts w:asciiTheme="majorBidi" w:hAnsiTheme="majorBidi" w:cs="B Lotus"/>
          <w:sz w:val="24"/>
          <w:szCs w:val="24"/>
        </w:rPr>
        <w:t>idence rate (ASR) for gastric ca</w:t>
      </w:r>
      <w:r w:rsidR="004F0491" w:rsidRPr="004B48E1">
        <w:rPr>
          <w:rFonts w:asciiTheme="majorBidi" w:hAnsiTheme="majorBidi" w:cs="B Lotus"/>
          <w:sz w:val="24"/>
          <w:szCs w:val="24"/>
        </w:rPr>
        <w:t xml:space="preserve">ncer was estimated to be 11.1% worldwide. Ardabil province is located in the northwest of Iran. Based on an ASR of 49.1 for males and 25.4 for female in this area, its population is among the highest prevalence population affected by gastric cancer (25). </w:t>
      </w:r>
      <w:r w:rsidR="00F162D5" w:rsidRPr="004B48E1">
        <w:rPr>
          <w:rFonts w:asciiTheme="majorBidi" w:hAnsiTheme="majorBidi" w:cs="B Lotus"/>
          <w:sz w:val="24"/>
          <w:szCs w:val="24"/>
        </w:rPr>
        <w:t xml:space="preserve">Primary infection of HPV is acquired through contact with skin lesions, which are usually detected and eliminated by the immune system. In case of persistent infection, the virus integrates into host DNA and </w:t>
      </w:r>
      <w:r w:rsidR="00F162D5" w:rsidRPr="004B48E1">
        <w:rPr>
          <w:rFonts w:asciiTheme="majorBidi" w:hAnsiTheme="majorBidi" w:cs="B Lotus"/>
          <w:sz w:val="24"/>
          <w:szCs w:val="24"/>
        </w:rPr>
        <w:lastRenderedPageBreak/>
        <w:t>through increased cell proliferation and disruption, tumor suppressor pathways facilitate the development of cancer (</w:t>
      </w:r>
      <w:r w:rsidRPr="004B48E1">
        <w:rPr>
          <w:rFonts w:asciiTheme="majorBidi" w:hAnsiTheme="majorBidi" w:cs="B Lotus"/>
          <w:sz w:val="24"/>
          <w:szCs w:val="24"/>
        </w:rPr>
        <w:t>27</w:t>
      </w:r>
      <w:r w:rsidR="00F162D5" w:rsidRPr="004B48E1">
        <w:rPr>
          <w:rFonts w:asciiTheme="majorBidi" w:hAnsiTheme="majorBidi" w:cs="B Lotus"/>
          <w:sz w:val="24"/>
          <w:szCs w:val="24"/>
        </w:rPr>
        <w:t>). Considering the high prevalence of gastric cancer in Ardabil province, this study was conducted to investigate the frequency of human papillomavirus types 16 and 18 in this province, and the results showed that</w:t>
      </w:r>
      <w:r w:rsidR="00E40FDB" w:rsidRPr="004B48E1">
        <w:rPr>
          <w:rFonts w:asciiTheme="majorBidi" w:hAnsiTheme="majorBidi" w:cs="B Lotus"/>
          <w:sz w:val="24"/>
          <w:szCs w:val="24"/>
        </w:rPr>
        <w:t>the frequency of human papillomavirus types 16 and 18 In patients with stomach cancer who had referred to Aras Medical Center at Imam Khomeini Hospital in Ardabil is zero.</w:t>
      </w:r>
    </w:p>
    <w:p w:rsidR="00F162D5"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Ding et al.(2010) collected and analyzed 23 samples of esophageal squamous cell carcinoma (ESCC) and gastric cardia carcinoma (GCA). According to the results, HPV16 DNA was found in 5 cases (29%) of gastric cardia carcinoma and 8 cases (47%) of esophageal squamous cell carcinoma. Also, the prevalence of HPV in gastric carcinoma was lower than that in esophagealsquamous cell carcinoma. They concluded that HPV16, as a risk factor associated with gastric cancer, may play an important role in the development of gastric cancer (</w:t>
      </w:r>
      <w:r w:rsidR="00FB52E9" w:rsidRPr="004B48E1">
        <w:rPr>
          <w:rFonts w:asciiTheme="majorBidi" w:hAnsiTheme="majorBidi" w:cs="B Lotus"/>
          <w:sz w:val="24"/>
          <w:szCs w:val="24"/>
        </w:rPr>
        <w:t>28</w:t>
      </w:r>
      <w:r w:rsidRPr="004B48E1">
        <w:rPr>
          <w:rFonts w:asciiTheme="majorBidi" w:hAnsiTheme="majorBidi" w:cs="B Lotus"/>
          <w:sz w:val="24"/>
          <w:szCs w:val="24"/>
        </w:rPr>
        <w:t>).</w:t>
      </w:r>
    </w:p>
    <w:p w:rsidR="00274459" w:rsidRPr="004B48E1" w:rsidRDefault="00274459"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In a study, Snietura et al. (2014) examined the potential role of HPV in the pathogenesis of GC and found that out of 84 samples from gastric adenocarcinoma, HPV DNA replication was not observed in any of the 84 samples.IHC results also reported no expression of the p16protein, which confirms the absence of active HPV infection in all individuals (</w:t>
      </w:r>
      <w:r w:rsidR="00FB52E9" w:rsidRPr="004B48E1">
        <w:rPr>
          <w:rFonts w:asciiTheme="majorBidi" w:hAnsiTheme="majorBidi" w:cs="B Lotus"/>
          <w:sz w:val="24"/>
          <w:szCs w:val="24"/>
        </w:rPr>
        <w:t>29</w:t>
      </w:r>
      <w:r w:rsidRPr="004B48E1">
        <w:rPr>
          <w:rFonts w:asciiTheme="majorBidi" w:hAnsiTheme="majorBidi" w:cs="B Lotus"/>
          <w:sz w:val="24"/>
          <w:szCs w:val="24"/>
        </w:rPr>
        <w:t>).</w:t>
      </w:r>
    </w:p>
    <w:p w:rsidR="00F162D5"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Zeng et al. (2016) conducted a meta-analysis study to investigate human papillomavirus as a potential risk factor for gastric cancer. Thirty studies were included in the current meta-analysis, involving 1,917 patients with GC and 576 controls. The pooled HPV prevalence was 28.0%among all the patients with GC. The pooled prevalence of HPV16 was 21% in GC tissues, and the pooled prevalence of HPV18 was 7%. According to these findings, HPV could play a potential role in the pathogenesis of GC (</w:t>
      </w:r>
      <w:r w:rsidR="00FB52E9" w:rsidRPr="004B48E1">
        <w:rPr>
          <w:rFonts w:asciiTheme="majorBidi" w:hAnsiTheme="majorBidi" w:cs="B Lotus"/>
          <w:sz w:val="24"/>
          <w:szCs w:val="24"/>
        </w:rPr>
        <w:t>30</w:t>
      </w:r>
      <w:r w:rsidRPr="004B48E1">
        <w:rPr>
          <w:rFonts w:asciiTheme="majorBidi" w:hAnsiTheme="majorBidi" w:cs="B Lotus"/>
          <w:sz w:val="24"/>
          <w:szCs w:val="24"/>
        </w:rPr>
        <w:t>).</w:t>
      </w:r>
    </w:p>
    <w:p w:rsidR="00F162D5"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 xml:space="preserve">Fakhraeiet al.(2016) conducted a study to Detection of human papillomavirus DNA in gastric carcinoma specimens in a high-risk region of Iran. A total of 100 paraffin-embedded tissue samples were obtained from 70 males and 30 females with gastric carcinoma. The samples were analyzed by polymerase chain reaction and five (5%) samples were identified to be positive for HPV DNA. Three (60%) samples were positive for HPV-16, one (20%) sample was positive for HPV-18 and one (20%) sample was positive for HPV-45. Following pathological diagnosis, 88 samples were identified as gastric adenocarcinoma, nine samples were gastric lymphoma, and three samples were gastric and esophagus adenocarcinoma. According to the findings of the present study and the rate of HPV infection in patients with gastric carcinoma, an association </w:t>
      </w:r>
      <w:r w:rsidRPr="004B48E1">
        <w:rPr>
          <w:rFonts w:asciiTheme="majorBidi" w:hAnsiTheme="majorBidi" w:cs="B Lotus"/>
          <w:sz w:val="24"/>
          <w:szCs w:val="24"/>
        </w:rPr>
        <w:lastRenderedPageBreak/>
        <w:t>between HPV infection and gastric carcinoma in subjects from Northern Iran was not identified (</w:t>
      </w:r>
      <w:r w:rsidR="00FB52E9" w:rsidRPr="004B48E1">
        <w:rPr>
          <w:rFonts w:asciiTheme="majorBidi" w:hAnsiTheme="majorBidi" w:cs="B Lotus"/>
          <w:sz w:val="24"/>
          <w:szCs w:val="24"/>
        </w:rPr>
        <w:t>7</w:t>
      </w:r>
      <w:r w:rsidRPr="004B48E1">
        <w:rPr>
          <w:rFonts w:asciiTheme="majorBidi" w:hAnsiTheme="majorBidi" w:cs="B Lotus"/>
          <w:sz w:val="24"/>
          <w:szCs w:val="24"/>
        </w:rPr>
        <w:t>).</w:t>
      </w:r>
    </w:p>
    <w:p w:rsidR="00F162D5"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De Souza et al (2018) investigated the presence of Helicobacter pylori (H.pylori ), Epstein-Barr virus (EBV) and human papillomavirus in gastric adenocarcinomas and their relationships with the clinicopathological characteristics of the patients. Even though all three pathogens were found in the samples they believed that Only H. pylori and EBV contribute to the transformation of tissue associated with carcinogenesis. HPV was not involved in gastric tumorigenesis. Prophylactic and therapeutic measures against H. pylori and EBV may prevent the development of GC, especially the more aggressive forms (</w:t>
      </w:r>
      <w:r w:rsidR="00FB52E9" w:rsidRPr="004B48E1">
        <w:rPr>
          <w:rFonts w:asciiTheme="majorBidi" w:hAnsiTheme="majorBidi" w:cs="B Lotus"/>
          <w:sz w:val="24"/>
          <w:szCs w:val="24"/>
        </w:rPr>
        <w:t>31</w:t>
      </w:r>
      <w:r w:rsidRPr="004B48E1">
        <w:rPr>
          <w:rFonts w:asciiTheme="majorBidi" w:hAnsiTheme="majorBidi" w:cs="B Lotus"/>
          <w:sz w:val="24"/>
          <w:szCs w:val="24"/>
        </w:rPr>
        <w:t>).</w:t>
      </w:r>
    </w:p>
    <w:p w:rsidR="00F162D5"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Leon et al. (2019) studied the prevalence of HPV in the gastroesophageal and found that HPV DNA was positive in one of 62 cases. The virus belonged to the HPV16 type (</w:t>
      </w:r>
      <w:r w:rsidR="00FB52E9" w:rsidRPr="004B48E1">
        <w:rPr>
          <w:rFonts w:asciiTheme="majorBidi" w:hAnsiTheme="majorBidi" w:cs="B Lotus"/>
          <w:sz w:val="24"/>
          <w:szCs w:val="24"/>
        </w:rPr>
        <w:t>32</w:t>
      </w:r>
      <w:r w:rsidRPr="004B48E1">
        <w:rPr>
          <w:rFonts w:asciiTheme="majorBidi" w:hAnsiTheme="majorBidi" w:cs="B Lotus"/>
          <w:sz w:val="24"/>
          <w:szCs w:val="24"/>
        </w:rPr>
        <w:t>).</w:t>
      </w:r>
    </w:p>
    <w:p w:rsidR="00F162D5"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Bozdayi et al (2019) investigated HPV DNA and genotyping HPV type 16 DNA in 106 gastric adenocarcinomas and Helicobacter pylori gastritis cases and 26 control groups. The 38% positive result in the gastric carcinoma group revealed the HPV-H. pylori relationship in gastritis cases (</w:t>
      </w:r>
      <w:r w:rsidR="00FB52E9" w:rsidRPr="004B48E1">
        <w:rPr>
          <w:rFonts w:asciiTheme="majorBidi" w:hAnsiTheme="majorBidi" w:cs="B Lotus"/>
          <w:sz w:val="24"/>
          <w:szCs w:val="24"/>
        </w:rPr>
        <w:t>33</w:t>
      </w:r>
      <w:r w:rsidRPr="004B48E1">
        <w:rPr>
          <w:rFonts w:asciiTheme="majorBidi" w:hAnsiTheme="majorBidi" w:cs="B Lotus"/>
          <w:sz w:val="24"/>
          <w:szCs w:val="24"/>
        </w:rPr>
        <w:t>).</w:t>
      </w:r>
    </w:p>
    <w:p w:rsidR="00F162D5"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Wang et al (2020) in a meta-analysis of 41 studies investigating the prevalence of HPV in 901 gastric cancer patients and 1205 controls revealed a pooled prevalence rate of 23.6% in the former. There was a significant association between HPV infection and the risk of gastric malignancy (</w:t>
      </w:r>
      <w:r w:rsidR="00FB52E9" w:rsidRPr="004B48E1">
        <w:rPr>
          <w:rFonts w:asciiTheme="majorBidi" w:hAnsiTheme="majorBidi" w:cs="B Lotus"/>
          <w:sz w:val="24"/>
          <w:szCs w:val="24"/>
        </w:rPr>
        <w:t>34</w:t>
      </w:r>
      <w:r w:rsidRPr="004B48E1">
        <w:rPr>
          <w:rFonts w:asciiTheme="majorBidi" w:hAnsiTheme="majorBidi" w:cs="B Lotus"/>
          <w:sz w:val="24"/>
          <w:szCs w:val="24"/>
        </w:rPr>
        <w:t>).</w:t>
      </w:r>
    </w:p>
    <w:p w:rsidR="00F162D5"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Bae et al. (2021) showed that the proportion of HPV-positive cases in Chinese studies was 1.43 times higher than in non-Chinese studies and 2.81 times lower than in the control group (</w:t>
      </w:r>
      <w:r w:rsidR="00FB52E9" w:rsidRPr="004B48E1">
        <w:rPr>
          <w:rFonts w:asciiTheme="majorBidi" w:hAnsiTheme="majorBidi" w:cs="B Lotus"/>
          <w:sz w:val="24"/>
          <w:szCs w:val="24"/>
        </w:rPr>
        <w:t>35</w:t>
      </w:r>
      <w:r w:rsidRPr="004B48E1">
        <w:rPr>
          <w:rFonts w:asciiTheme="majorBidi" w:hAnsiTheme="majorBidi" w:cs="B Lotus"/>
          <w:sz w:val="24"/>
          <w:szCs w:val="24"/>
        </w:rPr>
        <w:t>).</w:t>
      </w:r>
    </w:p>
    <w:p w:rsidR="00F162D5" w:rsidRDefault="00F162D5" w:rsidP="005819C0">
      <w:pPr>
        <w:tabs>
          <w:tab w:val="left" w:pos="2940"/>
        </w:tabs>
        <w:spacing w:after="0" w:line="360" w:lineRule="auto"/>
        <w:jc w:val="both"/>
        <w:rPr>
          <w:rFonts w:asciiTheme="majorBidi" w:hAnsiTheme="majorBidi" w:cs="B Lotus"/>
          <w:sz w:val="24"/>
          <w:szCs w:val="24"/>
          <w:rtl/>
        </w:rPr>
      </w:pPr>
      <w:r w:rsidRPr="004B48E1">
        <w:rPr>
          <w:rFonts w:asciiTheme="majorBidi" w:hAnsiTheme="majorBidi" w:cs="B Lotus"/>
          <w:sz w:val="24"/>
          <w:szCs w:val="24"/>
        </w:rPr>
        <w:t>Mallakhet al. (2022) did research to explore the possible etiological association between high oncogenic-risk HPV genotype (16, 18, 31, 33) DNA and GCT and also to evaluate the immunohistochemical expression of p73 and IL-10 proteins in GC tissues. The data of this study showed a role for HPV infection in GC and also provided evidence for an association between HPV infection and p73 with IL-10 protein expression in GC (</w:t>
      </w:r>
      <w:r w:rsidR="00FB52E9" w:rsidRPr="004B48E1">
        <w:rPr>
          <w:rFonts w:asciiTheme="majorBidi" w:hAnsiTheme="majorBidi" w:cs="B Lotus"/>
          <w:sz w:val="24"/>
          <w:szCs w:val="24"/>
        </w:rPr>
        <w:t>36</w:t>
      </w:r>
      <w:r w:rsidRPr="004B48E1">
        <w:rPr>
          <w:rFonts w:asciiTheme="majorBidi" w:hAnsiTheme="majorBidi" w:cs="B Lotus"/>
          <w:sz w:val="24"/>
          <w:szCs w:val="24"/>
        </w:rPr>
        <w:t>).</w:t>
      </w:r>
    </w:p>
    <w:p w:rsidR="00B94B93" w:rsidRDefault="00B94B93" w:rsidP="005819C0">
      <w:pPr>
        <w:tabs>
          <w:tab w:val="left" w:pos="2940"/>
        </w:tabs>
        <w:spacing w:after="0" w:line="360" w:lineRule="auto"/>
        <w:jc w:val="both"/>
        <w:rPr>
          <w:rFonts w:asciiTheme="majorBidi" w:hAnsiTheme="majorBidi" w:cs="B Lotus"/>
          <w:sz w:val="24"/>
          <w:szCs w:val="24"/>
        </w:rPr>
      </w:pPr>
      <w:r w:rsidRPr="00B94B93">
        <w:rPr>
          <w:rFonts w:asciiTheme="majorBidi" w:hAnsiTheme="majorBidi" w:cs="B Lotus"/>
          <w:sz w:val="24"/>
          <w:szCs w:val="24"/>
        </w:rPr>
        <w:t>Sadeghian et al. (2022) conducted research in Ardabil province and suggested that HPV can be one of the possible risk factors for the occurrence of gastric cancer</w:t>
      </w:r>
      <w:r>
        <w:rPr>
          <w:rFonts w:asciiTheme="majorBidi" w:hAnsiTheme="majorBidi" w:cs="B Lotus"/>
          <w:sz w:val="24"/>
          <w:szCs w:val="24"/>
        </w:rPr>
        <w:t>(23).</w:t>
      </w:r>
      <w:r w:rsidRPr="00B94B93">
        <w:rPr>
          <w:rFonts w:asciiTheme="majorBidi" w:hAnsiTheme="majorBidi" w:cs="B Lotus"/>
          <w:sz w:val="24"/>
          <w:szCs w:val="24"/>
        </w:rPr>
        <w:t xml:space="preserve">In </w:t>
      </w:r>
      <w:r>
        <w:rPr>
          <w:rFonts w:asciiTheme="majorBidi" w:hAnsiTheme="majorBidi" w:cs="B Lotus"/>
          <w:sz w:val="24"/>
          <w:szCs w:val="24"/>
        </w:rPr>
        <w:t>this study,</w:t>
      </w:r>
      <w:r w:rsidRPr="00B94B93">
        <w:rPr>
          <w:rFonts w:asciiTheme="majorBidi" w:hAnsiTheme="majorBidi" w:cs="B Lotus"/>
          <w:sz w:val="24"/>
          <w:szCs w:val="24"/>
        </w:rPr>
        <w:t xml:space="preserve"> tissue samples were tested by Nested- PCR. These samples were then sequenced to determine the genotype. Our study included blood samples from patients with gastric cancer, and after DNA extraction, positive control samples for papillomavirus HPV16 and HPV18 were used for PCR </w:t>
      </w:r>
      <w:r w:rsidRPr="00B94B93">
        <w:rPr>
          <w:rFonts w:asciiTheme="majorBidi" w:hAnsiTheme="majorBidi" w:cs="B Lotus"/>
          <w:sz w:val="24"/>
          <w:szCs w:val="24"/>
        </w:rPr>
        <w:lastRenderedPageBreak/>
        <w:t>testing. In other words, since our study aimed to investigate the prevalence of two high-risk papillomavirus (HPV16 and HPV 18) in patients with gastric cancer, positive control papilloma virus samples were used directly.</w:t>
      </w:r>
    </w:p>
    <w:p w:rsidR="00F162D5"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Jafari-Sales et al. (2023) did research to conduct a study investigating Prevalence and E6 Protein Expression in Gastric Cancer Tissue Samples Compared with Non-malignant and Control Groups in East Azerbaijan Province, Iran. 100 tissue samples of paraffin-embedded, including GC (50 samples), benign gastric hyperplasia (25 samples), and a control group (25 samples) were collected from the archives of laboratories in East Azerbaijan and the IHC and PCR were used to detect the HPV virus.8 out of 50 cancer samples were HPV positive by IHC and PCR. Men had the highest number of HPV-positive samples compared to women (5 samples vs. 3 samples). However, no viral genomes were observed in nonmalignant and control samples. There was a significant relationship between HPV infection and GC (</w:t>
      </w:r>
      <w:r w:rsidR="00FB52E9" w:rsidRPr="004B48E1">
        <w:rPr>
          <w:rFonts w:asciiTheme="majorBidi" w:hAnsiTheme="majorBidi" w:cs="B Lotus"/>
          <w:sz w:val="24"/>
          <w:szCs w:val="24"/>
        </w:rPr>
        <w:t>10</w:t>
      </w:r>
      <w:r w:rsidRPr="004B48E1">
        <w:rPr>
          <w:rFonts w:asciiTheme="majorBidi" w:hAnsiTheme="majorBidi" w:cs="B Lotus"/>
          <w:sz w:val="24"/>
          <w:szCs w:val="24"/>
        </w:rPr>
        <w:t>).</w:t>
      </w:r>
    </w:p>
    <w:p w:rsidR="00F162D5"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Pourmohammed</w:t>
      </w:r>
      <w:r w:rsidR="008C3BC5">
        <w:rPr>
          <w:rFonts w:asciiTheme="majorBidi" w:hAnsiTheme="majorBidi" w:cs="B Lotus"/>
          <w:sz w:val="24"/>
          <w:szCs w:val="24"/>
        </w:rPr>
        <w:t xml:space="preserve"> </w:t>
      </w:r>
      <w:r w:rsidRPr="004B48E1">
        <w:rPr>
          <w:rFonts w:asciiTheme="majorBidi" w:hAnsiTheme="majorBidi" w:cs="B Lotus"/>
          <w:sz w:val="24"/>
          <w:szCs w:val="24"/>
        </w:rPr>
        <w:t>etal. (2023) conducted a study to investigate Human papillomavirus and Helicobacter pylori co-infection in gastric cancer patients. In this descriptive study, 32 gastric cancer tissue samples and 32 healthy gastric tissue samples were collected from people referred to a hospital in Iran and Real-time PCR was utilized to detect HPV and H. pylori infections through L1 and cagA gene primers, respectively. Helicobacter pylori infection was detected in 26 cancer tissues (81.2%) and 22 healthy tissues (67.8%). Additionally, four cancer tissue samples (12.5%) tested positive for HPV infection, while no HPV infection cases were observed in the control group. A significant association was found between H. pylori infection and various tumor characteristics, including staging, grade, tumor size, lymph node involvement, and histology in gastric cancer patients. Moreover, HPV infection showed a significant correlation with gastric cancer staging. However, no significant relationship was observed between the co-infection of H. pylori and HPV with gastric cancer (</w:t>
      </w:r>
      <w:r w:rsidR="00487FAA" w:rsidRPr="004B48E1">
        <w:rPr>
          <w:rFonts w:asciiTheme="majorBidi" w:hAnsiTheme="majorBidi" w:cs="B Lotus"/>
          <w:sz w:val="24"/>
          <w:szCs w:val="24"/>
        </w:rPr>
        <w:t>37</w:t>
      </w:r>
      <w:r w:rsidRPr="004B48E1">
        <w:rPr>
          <w:rFonts w:asciiTheme="majorBidi" w:hAnsiTheme="majorBidi" w:cs="B Lotus"/>
          <w:sz w:val="24"/>
          <w:szCs w:val="24"/>
        </w:rPr>
        <w:t>).</w:t>
      </w:r>
    </w:p>
    <w:p w:rsidR="00487FAA" w:rsidRPr="004B48E1"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Xu et al.(2023) investigated integration and viral oncogene expression of human papillomavirus type 16 in oropharyngeal squamous cell carcinoma and gastric cancer. They revealed viraloncogene expression and/or integration in GC and OPSCC and a possible etiology role of HPV infections in gastric carcinogenesis (</w:t>
      </w:r>
      <w:r w:rsidR="00487FAA" w:rsidRPr="004B48E1">
        <w:rPr>
          <w:rFonts w:asciiTheme="majorBidi" w:hAnsiTheme="majorBidi" w:cs="B Lotus"/>
          <w:sz w:val="24"/>
          <w:szCs w:val="24"/>
        </w:rPr>
        <w:t>22</w:t>
      </w:r>
      <w:r w:rsidRPr="004B48E1">
        <w:rPr>
          <w:rFonts w:asciiTheme="majorBidi" w:hAnsiTheme="majorBidi" w:cs="B Lotus"/>
          <w:sz w:val="24"/>
          <w:szCs w:val="24"/>
        </w:rPr>
        <w:t>).</w:t>
      </w:r>
    </w:p>
    <w:p w:rsidR="00324697" w:rsidRDefault="00F162D5" w:rsidP="005819C0">
      <w:pPr>
        <w:tabs>
          <w:tab w:val="left" w:pos="2940"/>
        </w:tabs>
        <w:spacing w:after="0" w:line="360" w:lineRule="auto"/>
        <w:jc w:val="both"/>
        <w:rPr>
          <w:rFonts w:asciiTheme="majorBidi" w:hAnsiTheme="majorBidi" w:cs="B Lotus"/>
          <w:sz w:val="24"/>
          <w:szCs w:val="24"/>
        </w:rPr>
      </w:pPr>
      <w:r w:rsidRPr="004B48E1">
        <w:rPr>
          <w:rFonts w:asciiTheme="majorBidi" w:hAnsiTheme="majorBidi" w:cs="B Lotus"/>
          <w:sz w:val="24"/>
          <w:szCs w:val="24"/>
        </w:rPr>
        <w:t xml:space="preserve">According to the studies, it can be concluded </w:t>
      </w:r>
      <w:r w:rsidRPr="00F162D5">
        <w:rPr>
          <w:rFonts w:asciiTheme="majorBidi" w:hAnsiTheme="majorBidi" w:cs="B Lotus"/>
          <w:sz w:val="24"/>
          <w:szCs w:val="24"/>
        </w:rPr>
        <w:t>that the human papillomavirus is one of the causes of gastric cancer. However, in order to finally confirm the existence of this relationship, it is necessary to conduct more experiments on a wider level.</w:t>
      </w:r>
    </w:p>
    <w:p w:rsidR="00A65524" w:rsidRDefault="00F162D5" w:rsidP="005819C0">
      <w:pPr>
        <w:tabs>
          <w:tab w:val="left" w:pos="2940"/>
        </w:tabs>
        <w:spacing w:after="0" w:line="360" w:lineRule="auto"/>
        <w:rPr>
          <w:rFonts w:asciiTheme="majorBidi" w:hAnsiTheme="majorBidi" w:cs="B Lotus"/>
          <w:b/>
          <w:bCs/>
          <w:sz w:val="24"/>
          <w:szCs w:val="24"/>
        </w:rPr>
      </w:pPr>
      <w:r w:rsidRPr="00F162D5">
        <w:rPr>
          <w:rFonts w:asciiTheme="majorBidi" w:hAnsiTheme="majorBidi" w:cs="B Lotus"/>
          <w:b/>
          <w:bCs/>
          <w:sz w:val="24"/>
          <w:szCs w:val="24"/>
        </w:rPr>
        <w:lastRenderedPageBreak/>
        <w:t>Conclusion</w:t>
      </w:r>
    </w:p>
    <w:p w:rsidR="00EA1AF3" w:rsidRDefault="00310A2F" w:rsidP="005819C0">
      <w:pPr>
        <w:tabs>
          <w:tab w:val="left" w:pos="2940"/>
        </w:tabs>
        <w:spacing w:after="0" w:line="360" w:lineRule="auto"/>
        <w:jc w:val="both"/>
        <w:rPr>
          <w:rFonts w:asciiTheme="majorBidi" w:hAnsiTheme="majorBidi" w:cstheme="majorBidi"/>
          <w:sz w:val="24"/>
          <w:szCs w:val="24"/>
          <w:lang w:bidi="fa-IR"/>
        </w:rPr>
      </w:pPr>
      <w:r w:rsidRPr="00867084">
        <w:rPr>
          <w:rFonts w:asciiTheme="majorBidi" w:hAnsiTheme="majorBidi" w:cstheme="majorBidi"/>
          <w:sz w:val="24"/>
          <w:szCs w:val="24"/>
        </w:rPr>
        <w:t xml:space="preserve">Cancer </w:t>
      </w:r>
      <w:r w:rsidR="004A20A3" w:rsidRPr="00867084">
        <w:rPr>
          <w:rFonts w:asciiTheme="majorBidi" w:hAnsiTheme="majorBidi" w:cstheme="majorBidi"/>
          <w:sz w:val="24"/>
          <w:szCs w:val="24"/>
        </w:rPr>
        <w:t>is one of the most important causes of death and disability in developed and developing countries, including Iran(</w:t>
      </w:r>
      <w:r w:rsidR="00867084" w:rsidRPr="004B48E1">
        <w:rPr>
          <w:rFonts w:asciiTheme="majorBidi" w:hAnsiTheme="majorBidi" w:cstheme="majorBidi"/>
          <w:sz w:val="24"/>
          <w:szCs w:val="24"/>
        </w:rPr>
        <w:t>38</w:t>
      </w:r>
      <w:r w:rsidR="004A20A3" w:rsidRPr="00867084">
        <w:rPr>
          <w:rFonts w:asciiTheme="majorBidi" w:hAnsiTheme="majorBidi" w:cstheme="majorBidi"/>
          <w:sz w:val="24"/>
          <w:szCs w:val="24"/>
        </w:rPr>
        <w:t xml:space="preserve">). </w:t>
      </w:r>
      <w:r w:rsidR="00487FAA" w:rsidRPr="00867084">
        <w:rPr>
          <w:rFonts w:asciiTheme="majorBidi" w:hAnsiTheme="majorBidi" w:cstheme="majorBidi"/>
          <w:sz w:val="24"/>
          <w:szCs w:val="24"/>
        </w:rPr>
        <w:t>Gastric cancer is one of the most common malignancies in Iran and has the highest prevalence among gastrointestinal cancers. The incidence of this cancer is high in the north and northwest o</w:t>
      </w:r>
      <w:r w:rsidR="00867084" w:rsidRPr="00867084">
        <w:rPr>
          <w:rFonts w:asciiTheme="majorBidi" w:hAnsiTheme="majorBidi" w:cstheme="majorBidi"/>
          <w:sz w:val="24"/>
          <w:szCs w:val="24"/>
        </w:rPr>
        <w:t xml:space="preserve">f the country and is increasing (6). </w:t>
      </w:r>
      <w:r w:rsidR="00F162D5" w:rsidRPr="00867084">
        <w:rPr>
          <w:rFonts w:asciiTheme="majorBidi" w:hAnsiTheme="majorBidi" w:cstheme="majorBidi"/>
          <w:sz w:val="24"/>
          <w:szCs w:val="24"/>
        </w:rPr>
        <w:t xml:space="preserve">Considering the high prevalence of gastric cancer in Ardabil province, this </w:t>
      </w:r>
      <w:r>
        <w:rPr>
          <w:rFonts w:asciiTheme="majorBidi" w:hAnsiTheme="majorBidi" w:cstheme="majorBidi"/>
          <w:sz w:val="24"/>
          <w:szCs w:val="24"/>
        </w:rPr>
        <w:t>research</w:t>
      </w:r>
      <w:r w:rsidR="00F162D5" w:rsidRPr="00867084">
        <w:rPr>
          <w:rFonts w:asciiTheme="majorBidi" w:hAnsiTheme="majorBidi" w:cstheme="majorBidi"/>
          <w:sz w:val="24"/>
          <w:szCs w:val="24"/>
        </w:rPr>
        <w:t xml:space="preserve"> was conducted to investigate the frequency of human papillomavirus types 16 and 18 in this province</w:t>
      </w:r>
      <w:r w:rsidR="00E52829" w:rsidRPr="00867084">
        <w:rPr>
          <w:rFonts w:asciiTheme="majorBidi" w:hAnsiTheme="majorBidi" w:cstheme="majorBidi"/>
          <w:sz w:val="24"/>
          <w:szCs w:val="24"/>
        </w:rPr>
        <w:t>.</w:t>
      </w:r>
      <w:r>
        <w:rPr>
          <w:rFonts w:asciiTheme="majorBidi" w:hAnsiTheme="majorBidi" w:cstheme="majorBidi"/>
          <w:sz w:val="24"/>
          <w:szCs w:val="24"/>
        </w:rPr>
        <w:t xml:space="preserve"> </w:t>
      </w:r>
      <w:r w:rsidR="00F3454B" w:rsidRPr="00867084">
        <w:rPr>
          <w:rFonts w:asciiTheme="majorBidi" w:hAnsiTheme="majorBidi" w:cstheme="majorBidi"/>
          <w:sz w:val="24"/>
          <w:szCs w:val="24"/>
        </w:rPr>
        <w:t xml:space="preserve">The present </w:t>
      </w:r>
      <w:r w:rsidR="009C3584">
        <w:rPr>
          <w:rFonts w:asciiTheme="majorBidi" w:hAnsiTheme="majorBidi" w:cstheme="majorBidi"/>
          <w:sz w:val="24"/>
          <w:szCs w:val="24"/>
        </w:rPr>
        <w:t>paper</w:t>
      </w:r>
      <w:r w:rsidR="00F3454B" w:rsidRPr="00867084">
        <w:rPr>
          <w:rFonts w:asciiTheme="majorBidi" w:hAnsiTheme="majorBidi" w:cstheme="majorBidi"/>
          <w:sz w:val="24"/>
          <w:szCs w:val="24"/>
        </w:rPr>
        <w:t xml:space="preserve"> is the result of a thesis that was completed in </w:t>
      </w:r>
      <w:r>
        <w:rPr>
          <w:rFonts w:asciiTheme="majorBidi" w:hAnsiTheme="majorBidi" w:cstheme="majorBidi"/>
          <w:sz w:val="24"/>
          <w:szCs w:val="24"/>
        </w:rPr>
        <w:t>2019</w:t>
      </w:r>
      <w:r w:rsidR="00F3454B" w:rsidRPr="00867084">
        <w:rPr>
          <w:rFonts w:asciiTheme="majorBidi" w:hAnsiTheme="majorBidi" w:cstheme="majorBidi"/>
          <w:sz w:val="24"/>
          <w:szCs w:val="24"/>
        </w:rPr>
        <w:t>, when a study on the relationship between human papillomavirus and gastric cancer was conducted for the first time in Ardabil province and on a limited number of whole blood samples from patients with gastric cancer.</w:t>
      </w:r>
      <w:r>
        <w:rPr>
          <w:rFonts w:asciiTheme="majorBidi" w:hAnsiTheme="majorBidi" w:cstheme="majorBidi"/>
          <w:sz w:val="24"/>
          <w:szCs w:val="24"/>
        </w:rPr>
        <w:t xml:space="preserve"> </w:t>
      </w:r>
      <w:r w:rsidR="00DB0AAC" w:rsidRPr="00867084">
        <w:rPr>
          <w:rFonts w:asciiTheme="majorBidi" w:hAnsiTheme="majorBidi" w:cstheme="majorBidi"/>
          <w:sz w:val="24"/>
          <w:szCs w:val="24"/>
        </w:rPr>
        <w:t xml:space="preserve">Therefore, it can be concluded that the probability </w:t>
      </w:r>
      <w:r w:rsidR="009A3BA0" w:rsidRPr="00867084">
        <w:rPr>
          <w:rFonts w:asciiTheme="majorBidi" w:hAnsiTheme="majorBidi" w:cstheme="majorBidi"/>
          <w:sz w:val="24"/>
          <w:szCs w:val="24"/>
          <w:lang w:bidi="fa-IR"/>
        </w:rPr>
        <w:t xml:space="preserve">the frequency of human papillomavirus types 16 and 18 </w:t>
      </w:r>
      <w:r w:rsidR="001838BB">
        <w:rPr>
          <w:rFonts w:asciiTheme="majorBidi" w:hAnsiTheme="majorBidi" w:cstheme="majorBidi"/>
          <w:sz w:val="24"/>
          <w:szCs w:val="24"/>
          <w:lang w:bidi="fa-IR"/>
        </w:rPr>
        <w:t>i</w:t>
      </w:r>
      <w:r w:rsidR="009A3BA0" w:rsidRPr="00867084">
        <w:rPr>
          <w:rFonts w:asciiTheme="majorBidi" w:hAnsiTheme="majorBidi" w:cstheme="majorBidi"/>
          <w:sz w:val="24"/>
          <w:szCs w:val="24"/>
          <w:lang w:bidi="fa-IR"/>
        </w:rPr>
        <w:t>n patients with stomach cancer who had referred to Aras Medical Center at Imam Khomeini Hospital in Ardabil</w:t>
      </w:r>
      <w:r w:rsidR="001838BB">
        <w:rPr>
          <w:rFonts w:asciiTheme="majorBidi" w:hAnsiTheme="majorBidi" w:cstheme="majorBidi"/>
          <w:sz w:val="24"/>
          <w:szCs w:val="24"/>
          <w:lang w:bidi="fa-IR"/>
        </w:rPr>
        <w:t>,</w:t>
      </w:r>
      <w:r w:rsidR="009A3BA0" w:rsidRPr="00867084">
        <w:rPr>
          <w:rFonts w:asciiTheme="majorBidi" w:hAnsiTheme="majorBidi" w:cstheme="majorBidi"/>
          <w:sz w:val="24"/>
          <w:szCs w:val="24"/>
          <w:lang w:bidi="fa-IR"/>
        </w:rPr>
        <w:t xml:space="preserve"> is zero</w:t>
      </w:r>
      <w:r w:rsidR="005E6D47" w:rsidRPr="00867084">
        <w:rPr>
          <w:rFonts w:asciiTheme="majorBidi" w:hAnsiTheme="majorBidi" w:cstheme="majorBidi"/>
          <w:sz w:val="24"/>
          <w:szCs w:val="24"/>
          <w:lang w:bidi="fa-IR"/>
        </w:rPr>
        <w:t>.</w:t>
      </w:r>
      <w:r w:rsidR="005E6D47" w:rsidRPr="00867084">
        <w:rPr>
          <w:rFonts w:asciiTheme="majorBidi" w:hAnsiTheme="majorBidi" w:cstheme="majorBidi"/>
          <w:sz w:val="24"/>
          <w:szCs w:val="24"/>
        </w:rPr>
        <w:t>In the present study, tests were performed on whole blood samples. It is suggested  that other studies be performed on blood samples at different locations.</w:t>
      </w:r>
    </w:p>
    <w:p w:rsidR="00CF31BF" w:rsidRPr="00867084" w:rsidRDefault="00CF31BF" w:rsidP="00CF31BF">
      <w:pPr>
        <w:tabs>
          <w:tab w:val="left" w:pos="2940"/>
        </w:tabs>
        <w:jc w:val="both"/>
        <w:rPr>
          <w:rFonts w:asciiTheme="majorBidi" w:hAnsiTheme="majorBidi" w:cstheme="majorBidi"/>
          <w:sz w:val="24"/>
          <w:szCs w:val="24"/>
          <w:rtl/>
          <w:lang w:bidi="fa-IR"/>
        </w:rPr>
      </w:pPr>
    </w:p>
    <w:p w:rsidR="00EA1AF3" w:rsidRPr="00EA1AF3" w:rsidRDefault="00EA1AF3" w:rsidP="00EA1AF3">
      <w:pPr>
        <w:tabs>
          <w:tab w:val="left" w:pos="2940"/>
        </w:tabs>
        <w:rPr>
          <w:rFonts w:asciiTheme="majorBidi" w:hAnsiTheme="majorBidi" w:cs="B Lotus"/>
          <w:b/>
          <w:bCs/>
          <w:sz w:val="24"/>
          <w:szCs w:val="24"/>
        </w:rPr>
      </w:pPr>
      <w:r w:rsidRPr="00EA1AF3">
        <w:rPr>
          <w:rFonts w:asciiTheme="majorBidi" w:hAnsiTheme="majorBidi" w:cs="B Lotus"/>
          <w:b/>
          <w:bCs/>
          <w:sz w:val="24"/>
          <w:szCs w:val="24"/>
        </w:rPr>
        <w:t>Conflict of interest</w:t>
      </w:r>
    </w:p>
    <w:p w:rsidR="00867084" w:rsidRPr="00CF31BF" w:rsidRDefault="00EA1AF3" w:rsidP="00CF31BF">
      <w:pPr>
        <w:tabs>
          <w:tab w:val="left" w:pos="2940"/>
        </w:tabs>
        <w:jc w:val="both"/>
        <w:rPr>
          <w:rFonts w:asciiTheme="majorBidi" w:hAnsiTheme="majorBidi" w:cs="B Lotus"/>
          <w:sz w:val="24"/>
          <w:szCs w:val="24"/>
        </w:rPr>
      </w:pPr>
      <w:r w:rsidRPr="00EA1AF3">
        <w:rPr>
          <w:rFonts w:asciiTheme="majorBidi" w:hAnsiTheme="majorBidi" w:cs="B Lotus"/>
          <w:sz w:val="24"/>
          <w:szCs w:val="24"/>
        </w:rPr>
        <w:t>The authors declare they have no conflict of interest.</w:t>
      </w:r>
    </w:p>
    <w:p w:rsidR="003D7C77" w:rsidRDefault="003D7C77" w:rsidP="00867084">
      <w:pPr>
        <w:tabs>
          <w:tab w:val="left" w:pos="2940"/>
        </w:tabs>
        <w:jc w:val="both"/>
        <w:rPr>
          <w:rFonts w:asciiTheme="majorBidi" w:hAnsiTheme="majorBidi" w:cs="B Lotus"/>
          <w:b/>
          <w:bCs/>
          <w:sz w:val="24"/>
          <w:szCs w:val="24"/>
        </w:rPr>
      </w:pPr>
    </w:p>
    <w:p w:rsidR="003D7C77" w:rsidRDefault="003D7C77" w:rsidP="00867084">
      <w:pPr>
        <w:tabs>
          <w:tab w:val="left" w:pos="2940"/>
        </w:tabs>
        <w:jc w:val="both"/>
        <w:rPr>
          <w:rFonts w:asciiTheme="majorBidi" w:hAnsiTheme="majorBidi" w:cs="B Lotus"/>
          <w:b/>
          <w:bCs/>
          <w:sz w:val="24"/>
          <w:szCs w:val="24"/>
        </w:rPr>
      </w:pPr>
    </w:p>
    <w:p w:rsidR="003D7C77" w:rsidRDefault="003D7C77" w:rsidP="00867084">
      <w:pPr>
        <w:tabs>
          <w:tab w:val="left" w:pos="2940"/>
        </w:tabs>
        <w:jc w:val="both"/>
        <w:rPr>
          <w:rFonts w:asciiTheme="majorBidi" w:hAnsiTheme="majorBidi" w:cs="B Lotus"/>
          <w:b/>
          <w:bCs/>
          <w:sz w:val="24"/>
          <w:szCs w:val="24"/>
        </w:rPr>
      </w:pPr>
    </w:p>
    <w:p w:rsidR="00867084" w:rsidRPr="00EA1AF3" w:rsidRDefault="00EA1AF3" w:rsidP="00867084">
      <w:pPr>
        <w:tabs>
          <w:tab w:val="left" w:pos="2940"/>
        </w:tabs>
        <w:jc w:val="both"/>
        <w:rPr>
          <w:rFonts w:asciiTheme="majorBidi" w:hAnsiTheme="majorBidi" w:cs="B Lotus"/>
          <w:b/>
          <w:bCs/>
          <w:sz w:val="24"/>
          <w:szCs w:val="24"/>
          <w:rtl/>
        </w:rPr>
      </w:pPr>
      <w:bookmarkStart w:id="1" w:name="_GoBack"/>
      <w:bookmarkEnd w:id="1"/>
      <w:r w:rsidRPr="00EA1AF3">
        <w:rPr>
          <w:rFonts w:asciiTheme="majorBidi" w:hAnsiTheme="majorBidi" w:cs="B Lotus"/>
          <w:b/>
          <w:bCs/>
          <w:sz w:val="24"/>
          <w:szCs w:val="24"/>
        </w:rPr>
        <w:t>References</w:t>
      </w:r>
    </w:p>
    <w:p w:rsidR="00172E90" w:rsidRDefault="00172E90" w:rsidP="00172E90">
      <w:pPr>
        <w:pStyle w:val="ListParagraph"/>
        <w:numPr>
          <w:ilvl w:val="0"/>
          <w:numId w:val="2"/>
        </w:numPr>
        <w:tabs>
          <w:tab w:val="left" w:pos="2940"/>
        </w:tabs>
        <w:spacing w:line="276" w:lineRule="auto"/>
        <w:jc w:val="both"/>
        <w:rPr>
          <w:rFonts w:asciiTheme="majorBidi" w:hAnsiTheme="majorBidi" w:cs="B Lotus"/>
          <w:sz w:val="24"/>
          <w:szCs w:val="24"/>
        </w:rPr>
      </w:pPr>
      <w:r w:rsidRPr="00172E90">
        <w:rPr>
          <w:rFonts w:asciiTheme="majorBidi" w:hAnsiTheme="majorBidi" w:cs="B Lotus"/>
          <w:sz w:val="24"/>
          <w:szCs w:val="24"/>
        </w:rPr>
        <w:t xml:space="preserve">Kalan Farmanfarma K, Mahdavifar N, Hassanipour S, Salehiniya H. Epidemiologic Study of Gastric Cancer in Iran: A Systematic Review. Clin Exp Gastroenterol. 2020; 13:511-542. </w:t>
      </w:r>
    </w:p>
    <w:p w:rsidR="00095108" w:rsidRDefault="00095108" w:rsidP="00172E90">
      <w:pPr>
        <w:pStyle w:val="ListParagraph"/>
        <w:numPr>
          <w:ilvl w:val="0"/>
          <w:numId w:val="2"/>
        </w:numPr>
        <w:tabs>
          <w:tab w:val="left" w:pos="2940"/>
        </w:tabs>
        <w:spacing w:line="276" w:lineRule="auto"/>
        <w:jc w:val="both"/>
        <w:rPr>
          <w:rFonts w:asciiTheme="majorBidi" w:hAnsiTheme="majorBidi" w:cs="B Lotus"/>
          <w:sz w:val="24"/>
          <w:szCs w:val="24"/>
        </w:rPr>
      </w:pPr>
      <w:r w:rsidRPr="00095108">
        <w:rPr>
          <w:rFonts w:asciiTheme="majorBidi" w:hAnsiTheme="majorBidi" w:cs="B Lotus"/>
          <w:sz w:val="24"/>
          <w:szCs w:val="24"/>
        </w:rPr>
        <w:t>Pourfarzi F,</w:t>
      </w:r>
      <w:r w:rsidR="00172E90">
        <w:rPr>
          <w:rFonts w:asciiTheme="majorBidi" w:hAnsiTheme="majorBidi" w:cs="B Lotus"/>
          <w:sz w:val="24"/>
          <w:szCs w:val="24"/>
        </w:rPr>
        <w:t xml:space="preserve"> </w:t>
      </w:r>
      <w:r w:rsidRPr="00095108">
        <w:rPr>
          <w:rFonts w:asciiTheme="majorBidi" w:hAnsiTheme="majorBidi" w:cs="B Lotus"/>
          <w:sz w:val="24"/>
          <w:szCs w:val="24"/>
        </w:rPr>
        <w:t>Rashidi MM,</w:t>
      </w:r>
      <w:r w:rsidR="00172E90">
        <w:rPr>
          <w:rFonts w:asciiTheme="majorBidi" w:hAnsiTheme="majorBidi" w:cs="B Lotus"/>
          <w:sz w:val="24"/>
          <w:szCs w:val="24"/>
        </w:rPr>
        <w:t xml:space="preserve"> </w:t>
      </w:r>
      <w:r w:rsidRPr="00095108">
        <w:rPr>
          <w:rFonts w:asciiTheme="majorBidi" w:hAnsiTheme="majorBidi" w:cs="B Lotus"/>
          <w:sz w:val="24"/>
          <w:szCs w:val="24"/>
        </w:rPr>
        <w:t>Yazdanbod A et al. Effectiveness of long-term low-dose aspirin in the prevention of gastric cancer after Helicobacter pylori eradication: study design and rationale of Ardabil gastric cancer randomized placebo-controlled prevention trial (AGCPT).</w:t>
      </w:r>
      <w:r w:rsidR="00172E90">
        <w:rPr>
          <w:rFonts w:asciiTheme="majorBidi" w:hAnsiTheme="majorBidi" w:cs="B Lotus"/>
          <w:sz w:val="24"/>
          <w:szCs w:val="24"/>
        </w:rPr>
        <w:t xml:space="preserve">2024; </w:t>
      </w:r>
      <w:r w:rsidRPr="00095108">
        <w:rPr>
          <w:rFonts w:asciiTheme="majorBidi" w:hAnsiTheme="majorBidi" w:cs="B Lotus"/>
          <w:sz w:val="24"/>
          <w:szCs w:val="24"/>
        </w:rPr>
        <w:t>25, 617</w:t>
      </w:r>
      <w:r w:rsidR="00172E90">
        <w:rPr>
          <w:rFonts w:asciiTheme="majorBidi" w:hAnsiTheme="majorBidi" w:cs="B Lotus"/>
          <w:sz w:val="24"/>
          <w:szCs w:val="24"/>
        </w:rPr>
        <w:t>.</w:t>
      </w:r>
      <w:r w:rsidRPr="00095108">
        <w:rPr>
          <w:rFonts w:asciiTheme="majorBidi" w:hAnsiTheme="majorBidi" w:cs="B Lotus"/>
          <w:sz w:val="24"/>
          <w:szCs w:val="24"/>
        </w:rPr>
        <w:t xml:space="preserve"> </w:t>
      </w:r>
    </w:p>
    <w:p w:rsidR="00095108" w:rsidRDefault="00095108" w:rsidP="001F2C78">
      <w:pPr>
        <w:pStyle w:val="ListParagraph"/>
        <w:numPr>
          <w:ilvl w:val="0"/>
          <w:numId w:val="2"/>
        </w:numPr>
        <w:tabs>
          <w:tab w:val="left" w:pos="2940"/>
        </w:tabs>
        <w:spacing w:line="276" w:lineRule="auto"/>
        <w:jc w:val="both"/>
        <w:rPr>
          <w:rFonts w:asciiTheme="majorBidi" w:hAnsiTheme="majorBidi" w:cs="B Lotus"/>
          <w:sz w:val="24"/>
          <w:szCs w:val="24"/>
        </w:rPr>
      </w:pPr>
      <w:r w:rsidRPr="00095108">
        <w:rPr>
          <w:rFonts w:asciiTheme="majorBidi" w:hAnsiTheme="majorBidi" w:cs="B Lotus"/>
          <w:sz w:val="24"/>
          <w:szCs w:val="24"/>
        </w:rPr>
        <w:t>Rajendra K</w:t>
      </w:r>
      <w:r w:rsidR="006F2A74">
        <w:rPr>
          <w:rFonts w:asciiTheme="majorBidi" w:hAnsiTheme="majorBidi" w:cs="B Lotus"/>
          <w:sz w:val="24"/>
          <w:szCs w:val="24"/>
        </w:rPr>
        <w:t>,</w:t>
      </w:r>
      <w:r w:rsidRPr="00095108">
        <w:rPr>
          <w:rFonts w:asciiTheme="majorBidi" w:hAnsiTheme="majorBidi" w:cs="B Lotus"/>
          <w:sz w:val="24"/>
          <w:szCs w:val="24"/>
        </w:rPr>
        <w:t xml:space="preserve"> Sharma P.</w:t>
      </w:r>
      <w:r w:rsidR="006F2A74">
        <w:rPr>
          <w:rFonts w:asciiTheme="majorBidi" w:hAnsiTheme="majorBidi" w:cs="B Lotus"/>
          <w:sz w:val="24"/>
          <w:szCs w:val="24"/>
        </w:rPr>
        <w:t xml:space="preserve"> </w:t>
      </w:r>
      <w:r w:rsidRPr="00095108">
        <w:rPr>
          <w:rFonts w:asciiTheme="majorBidi" w:hAnsiTheme="majorBidi" w:cs="B Lotus"/>
          <w:sz w:val="24"/>
          <w:szCs w:val="24"/>
        </w:rPr>
        <w:t>Viral Pathogens in Oesophageal and</w:t>
      </w:r>
      <w:r w:rsidR="006F2A74">
        <w:rPr>
          <w:rFonts w:asciiTheme="majorBidi" w:hAnsiTheme="majorBidi" w:cs="B Lotus"/>
          <w:sz w:val="24"/>
          <w:szCs w:val="24"/>
        </w:rPr>
        <w:t xml:space="preserve"> </w:t>
      </w:r>
      <w:r w:rsidRPr="00095108">
        <w:rPr>
          <w:rFonts w:asciiTheme="majorBidi" w:hAnsiTheme="majorBidi" w:cs="B Lotus"/>
          <w:sz w:val="24"/>
          <w:szCs w:val="24"/>
        </w:rPr>
        <w:t>Gastric Cancer. Pathogens 2022</w:t>
      </w:r>
      <w:r w:rsidR="006F2A74">
        <w:rPr>
          <w:rFonts w:asciiTheme="majorBidi" w:hAnsiTheme="majorBidi" w:cs="B Lotus"/>
          <w:sz w:val="24"/>
          <w:szCs w:val="24"/>
        </w:rPr>
        <w:t>;</w:t>
      </w:r>
      <w:r w:rsidRPr="00095108">
        <w:rPr>
          <w:rFonts w:asciiTheme="majorBidi" w:hAnsiTheme="majorBidi" w:cs="B Lotus"/>
          <w:sz w:val="24"/>
          <w:szCs w:val="24"/>
        </w:rPr>
        <w:t>11</w:t>
      </w:r>
      <w:r w:rsidR="006F2A74">
        <w:rPr>
          <w:rFonts w:asciiTheme="majorBidi" w:hAnsiTheme="majorBidi" w:cs="B Lotus"/>
          <w:sz w:val="24"/>
          <w:szCs w:val="24"/>
        </w:rPr>
        <w:t>(4)</w:t>
      </w:r>
      <w:r w:rsidR="001F2C78">
        <w:rPr>
          <w:rFonts w:asciiTheme="majorBidi" w:hAnsiTheme="majorBidi" w:cs="B Lotus"/>
          <w:sz w:val="24"/>
          <w:szCs w:val="24"/>
        </w:rPr>
        <w:t>:</w:t>
      </w:r>
      <w:r w:rsidRPr="00095108">
        <w:rPr>
          <w:rFonts w:asciiTheme="majorBidi" w:hAnsiTheme="majorBidi" w:cs="B Lotus"/>
          <w:sz w:val="24"/>
          <w:szCs w:val="24"/>
        </w:rPr>
        <w:t xml:space="preserve">476. </w:t>
      </w:r>
    </w:p>
    <w:p w:rsidR="00095108" w:rsidRDefault="006D32C5" w:rsidP="0081645E">
      <w:pPr>
        <w:pStyle w:val="ListParagraph"/>
        <w:numPr>
          <w:ilvl w:val="0"/>
          <w:numId w:val="2"/>
        </w:numPr>
        <w:tabs>
          <w:tab w:val="left" w:pos="2940"/>
        </w:tabs>
        <w:spacing w:line="276" w:lineRule="auto"/>
        <w:jc w:val="both"/>
        <w:rPr>
          <w:rFonts w:asciiTheme="majorBidi" w:hAnsiTheme="majorBidi" w:cs="B Lotus"/>
          <w:sz w:val="24"/>
          <w:szCs w:val="24"/>
        </w:rPr>
      </w:pPr>
      <w:r>
        <w:rPr>
          <w:rFonts w:asciiTheme="majorBidi" w:hAnsiTheme="majorBidi" w:cs="B Lotus"/>
          <w:sz w:val="24"/>
          <w:szCs w:val="24"/>
        </w:rPr>
        <w:t xml:space="preserve">Ghalehtaki R, </w:t>
      </w:r>
      <w:r w:rsidR="00095108" w:rsidRPr="00095108">
        <w:rPr>
          <w:rFonts w:asciiTheme="majorBidi" w:hAnsiTheme="majorBidi" w:cs="B Lotus"/>
          <w:sz w:val="24"/>
          <w:szCs w:val="24"/>
        </w:rPr>
        <w:t>Rezaei S</w:t>
      </w:r>
      <w:r>
        <w:rPr>
          <w:rFonts w:asciiTheme="majorBidi" w:hAnsiTheme="majorBidi" w:cs="B Lotus"/>
          <w:sz w:val="24"/>
          <w:szCs w:val="24"/>
        </w:rPr>
        <w:t xml:space="preserve">, Moghaddam S, Daneshi N, Raee A, Jafari F. </w:t>
      </w:r>
      <w:r w:rsidR="00095108" w:rsidRPr="00095108">
        <w:rPr>
          <w:rFonts w:asciiTheme="majorBidi" w:hAnsiTheme="majorBidi" w:cs="B Lotus"/>
          <w:sz w:val="24"/>
          <w:szCs w:val="24"/>
        </w:rPr>
        <w:t>Incidence, Prognostic Factors, and Survival of Gastric Cancer in Iran: A revi</w:t>
      </w:r>
      <w:r w:rsidR="0081645E">
        <w:rPr>
          <w:rFonts w:asciiTheme="majorBidi" w:hAnsiTheme="majorBidi" w:cs="B Lotus"/>
          <w:sz w:val="24"/>
          <w:szCs w:val="24"/>
        </w:rPr>
        <w:t>ew of evidence. Basic &amp; Clin</w:t>
      </w:r>
      <w:r w:rsidR="00095108" w:rsidRPr="00095108">
        <w:rPr>
          <w:rFonts w:asciiTheme="majorBidi" w:hAnsiTheme="majorBidi" w:cs="B Lotus"/>
          <w:sz w:val="24"/>
          <w:szCs w:val="24"/>
        </w:rPr>
        <w:t xml:space="preserve"> Can</w:t>
      </w:r>
      <w:r w:rsidR="002D228F">
        <w:rPr>
          <w:rFonts w:asciiTheme="majorBidi" w:hAnsiTheme="majorBidi" w:cs="B Lotus"/>
          <w:sz w:val="24"/>
          <w:szCs w:val="24"/>
        </w:rPr>
        <w:t>cer Res.</w:t>
      </w:r>
      <w:r w:rsidR="00095108" w:rsidRPr="00095108">
        <w:rPr>
          <w:rFonts w:asciiTheme="majorBidi" w:hAnsiTheme="majorBidi" w:cs="B Lotus"/>
          <w:sz w:val="24"/>
          <w:szCs w:val="24"/>
        </w:rPr>
        <w:t xml:space="preserve"> </w:t>
      </w:r>
      <w:r w:rsidR="0081645E">
        <w:rPr>
          <w:rFonts w:asciiTheme="majorBidi" w:hAnsiTheme="majorBidi" w:cs="B Lotus"/>
          <w:sz w:val="24"/>
          <w:szCs w:val="24"/>
        </w:rPr>
        <w:t>2022; 2(14):233-248.</w:t>
      </w:r>
    </w:p>
    <w:p w:rsidR="00EB005D" w:rsidRDefault="00EB005D" w:rsidP="003E0614">
      <w:pPr>
        <w:pStyle w:val="ListParagraph"/>
        <w:numPr>
          <w:ilvl w:val="0"/>
          <w:numId w:val="2"/>
        </w:numPr>
        <w:tabs>
          <w:tab w:val="left" w:pos="2940"/>
        </w:tabs>
        <w:spacing w:line="276" w:lineRule="auto"/>
        <w:jc w:val="both"/>
        <w:rPr>
          <w:rFonts w:asciiTheme="majorBidi" w:hAnsiTheme="majorBidi" w:cs="B Lotus"/>
          <w:sz w:val="24"/>
          <w:szCs w:val="24"/>
        </w:rPr>
      </w:pPr>
      <w:r w:rsidRPr="00EB005D">
        <w:rPr>
          <w:rFonts w:asciiTheme="majorBidi" w:hAnsiTheme="majorBidi" w:cs="B Lotus"/>
          <w:sz w:val="24"/>
          <w:szCs w:val="24"/>
        </w:rPr>
        <w:lastRenderedPageBreak/>
        <w:t>Farahmandi F, Salarabedi MM, Parhizgar P, Variyath S, Al-Yateem N, Rahman SA, Al-Marzouqi A,</w:t>
      </w:r>
      <w:r w:rsidR="002D228F">
        <w:rPr>
          <w:rFonts w:asciiTheme="majorBidi" w:hAnsiTheme="majorBidi" w:cs="B Lotus"/>
          <w:sz w:val="24"/>
          <w:szCs w:val="24"/>
        </w:rPr>
        <w:t xml:space="preserve"> </w:t>
      </w:r>
      <w:r w:rsidRPr="00EB005D">
        <w:rPr>
          <w:rFonts w:asciiTheme="majorBidi" w:hAnsiTheme="majorBidi" w:cs="B Lotus"/>
          <w:sz w:val="24"/>
          <w:szCs w:val="24"/>
        </w:rPr>
        <w:t>HashemiNazari S, Mosavi</w:t>
      </w:r>
      <w:r w:rsidR="002D228F">
        <w:rPr>
          <w:rFonts w:asciiTheme="majorBidi" w:hAnsiTheme="majorBidi" w:cs="B Lotus"/>
          <w:sz w:val="24"/>
          <w:szCs w:val="24"/>
        </w:rPr>
        <w:t xml:space="preserve"> </w:t>
      </w:r>
      <w:r w:rsidRPr="00EB005D">
        <w:rPr>
          <w:rFonts w:asciiTheme="majorBidi" w:hAnsiTheme="majorBidi" w:cs="B Lotus"/>
          <w:sz w:val="24"/>
          <w:szCs w:val="24"/>
        </w:rPr>
        <w:t xml:space="preserve">Jarrahi A. Survival </w:t>
      </w:r>
      <w:r w:rsidR="002D228F">
        <w:rPr>
          <w:rFonts w:asciiTheme="majorBidi" w:hAnsiTheme="majorBidi" w:cs="B Lotus"/>
          <w:sz w:val="24"/>
          <w:szCs w:val="24"/>
        </w:rPr>
        <w:t>of</w:t>
      </w:r>
      <w:r w:rsidR="002D228F" w:rsidRPr="00EB005D">
        <w:rPr>
          <w:rFonts w:asciiTheme="majorBidi" w:hAnsiTheme="majorBidi" w:cs="B Lotus"/>
          <w:sz w:val="24"/>
          <w:szCs w:val="24"/>
        </w:rPr>
        <w:t xml:space="preserve"> Gastric Cancer Patients </w:t>
      </w:r>
      <w:r w:rsidR="002D228F">
        <w:rPr>
          <w:rFonts w:asciiTheme="majorBidi" w:hAnsiTheme="majorBidi" w:cs="B Lotus"/>
          <w:sz w:val="24"/>
          <w:szCs w:val="24"/>
        </w:rPr>
        <w:t>in</w:t>
      </w:r>
      <w:r w:rsidR="002D228F" w:rsidRPr="00EB005D">
        <w:rPr>
          <w:rFonts w:asciiTheme="majorBidi" w:hAnsiTheme="majorBidi" w:cs="B Lotus"/>
          <w:sz w:val="24"/>
          <w:szCs w:val="24"/>
        </w:rPr>
        <w:t xml:space="preserve"> </w:t>
      </w:r>
      <w:r w:rsidRPr="00EB005D">
        <w:rPr>
          <w:rFonts w:asciiTheme="majorBidi" w:hAnsiTheme="majorBidi" w:cs="B Lotus"/>
          <w:sz w:val="24"/>
          <w:szCs w:val="24"/>
        </w:rPr>
        <w:t>Iran</w:t>
      </w:r>
      <w:r w:rsidR="002D228F" w:rsidRPr="00EB005D">
        <w:rPr>
          <w:rFonts w:asciiTheme="majorBidi" w:hAnsiTheme="majorBidi" w:cs="B Lotus"/>
          <w:sz w:val="24"/>
          <w:szCs w:val="24"/>
        </w:rPr>
        <w:t xml:space="preserve">: A Systematic Review </w:t>
      </w:r>
      <w:r w:rsidR="002D228F">
        <w:rPr>
          <w:rFonts w:asciiTheme="majorBidi" w:hAnsiTheme="majorBidi" w:cs="B Lotus"/>
          <w:sz w:val="24"/>
          <w:szCs w:val="24"/>
        </w:rPr>
        <w:t>and</w:t>
      </w:r>
      <w:r w:rsidR="002D228F" w:rsidRPr="00EB005D">
        <w:rPr>
          <w:rFonts w:asciiTheme="majorBidi" w:hAnsiTheme="majorBidi" w:cs="B Lotus"/>
          <w:sz w:val="24"/>
          <w:szCs w:val="24"/>
        </w:rPr>
        <w:t xml:space="preserve"> Metaanalysis.</w:t>
      </w:r>
      <w:r w:rsidRPr="00EB005D">
        <w:rPr>
          <w:rFonts w:asciiTheme="majorBidi" w:hAnsiTheme="majorBidi" w:cs="B Lotus"/>
          <w:sz w:val="24"/>
          <w:szCs w:val="24"/>
        </w:rPr>
        <w:t xml:space="preserve"> Gastroenterol</w:t>
      </w:r>
      <w:r w:rsidR="003E0614">
        <w:rPr>
          <w:rFonts w:asciiTheme="majorBidi" w:hAnsiTheme="majorBidi" w:cs="B Lotus"/>
          <w:sz w:val="24"/>
          <w:szCs w:val="24"/>
        </w:rPr>
        <w:t xml:space="preserve"> </w:t>
      </w:r>
      <w:r w:rsidRPr="00EB005D">
        <w:rPr>
          <w:rFonts w:asciiTheme="majorBidi" w:hAnsiTheme="majorBidi" w:cs="B Lotus"/>
          <w:sz w:val="24"/>
          <w:szCs w:val="24"/>
        </w:rPr>
        <w:t xml:space="preserve">Hepatol Bed Bench 2023;16(3):245-258. </w:t>
      </w:r>
    </w:p>
    <w:p w:rsidR="0001658F" w:rsidRDefault="00206E77" w:rsidP="00725719">
      <w:pPr>
        <w:pStyle w:val="ListParagraph"/>
        <w:numPr>
          <w:ilvl w:val="0"/>
          <w:numId w:val="2"/>
        </w:numPr>
        <w:tabs>
          <w:tab w:val="left" w:pos="2940"/>
        </w:tabs>
        <w:spacing w:line="276" w:lineRule="auto"/>
        <w:jc w:val="both"/>
        <w:rPr>
          <w:rFonts w:asciiTheme="majorBidi" w:hAnsiTheme="majorBidi" w:cs="B Lotus"/>
          <w:sz w:val="24"/>
          <w:szCs w:val="24"/>
          <w:lang w:bidi="fa-IR"/>
        </w:rPr>
      </w:pPr>
      <w:r w:rsidRPr="00E47BA9">
        <w:rPr>
          <w:rFonts w:asciiTheme="majorBidi" w:hAnsiTheme="majorBidi" w:cs="B Lotus"/>
          <w:sz w:val="24"/>
          <w:szCs w:val="24"/>
        </w:rPr>
        <w:t>Hamidzadeh</w:t>
      </w:r>
      <w:r w:rsidR="003E0614">
        <w:rPr>
          <w:rFonts w:asciiTheme="majorBidi" w:hAnsiTheme="majorBidi" w:cs="B Lotus"/>
          <w:sz w:val="24"/>
          <w:szCs w:val="24"/>
        </w:rPr>
        <w:t xml:space="preserve"> </w:t>
      </w:r>
      <w:r w:rsidRPr="00E47BA9">
        <w:rPr>
          <w:rFonts w:asciiTheme="majorBidi" w:hAnsiTheme="majorBidi" w:cs="B Lotus"/>
          <w:sz w:val="24"/>
          <w:szCs w:val="24"/>
        </w:rPr>
        <w:t xml:space="preserve">Arbabi Y, </w:t>
      </w:r>
      <w:r w:rsidR="00E47BA9" w:rsidRPr="00E47BA9">
        <w:rPr>
          <w:rFonts w:asciiTheme="majorBidi" w:hAnsiTheme="majorBidi" w:cs="B Lotus"/>
          <w:sz w:val="24"/>
          <w:szCs w:val="24"/>
        </w:rPr>
        <w:t>Nemati R, Rezakhani H. Survey of Health Literacy about Stomach Cancer in Clients and Inpatients of Imam Khomeini Medical Education Center in Ardabil</w:t>
      </w:r>
      <w:r w:rsidR="003E0614">
        <w:rPr>
          <w:rFonts w:asciiTheme="majorBidi" w:hAnsiTheme="majorBidi" w:cs="B Lotus"/>
          <w:sz w:val="24"/>
          <w:szCs w:val="24"/>
        </w:rPr>
        <w:t xml:space="preserve">, </w:t>
      </w:r>
      <w:r w:rsidR="00E47BA9" w:rsidRPr="00E47BA9">
        <w:rPr>
          <w:rFonts w:asciiTheme="majorBidi" w:hAnsiTheme="majorBidi" w:cs="B Lotus"/>
          <w:sz w:val="24"/>
          <w:szCs w:val="24"/>
        </w:rPr>
        <w:t xml:space="preserve">2018. J </w:t>
      </w:r>
      <w:r w:rsidR="00725719">
        <w:rPr>
          <w:rFonts w:asciiTheme="majorBidi" w:hAnsiTheme="majorBidi" w:cs="B Lotus"/>
          <w:sz w:val="24"/>
          <w:szCs w:val="24"/>
        </w:rPr>
        <w:t>Ardabil Univ</w:t>
      </w:r>
      <w:r w:rsidR="00E47BA9" w:rsidRPr="00E47BA9">
        <w:rPr>
          <w:rFonts w:asciiTheme="majorBidi" w:hAnsiTheme="majorBidi" w:cs="B Lotus"/>
          <w:sz w:val="24"/>
          <w:szCs w:val="24"/>
        </w:rPr>
        <w:t xml:space="preserve"> Med</w:t>
      </w:r>
      <w:r w:rsidR="00725719">
        <w:rPr>
          <w:rFonts w:asciiTheme="majorBidi" w:hAnsiTheme="majorBidi" w:cs="B Lotus"/>
          <w:sz w:val="24"/>
          <w:szCs w:val="24"/>
        </w:rPr>
        <w:t xml:space="preserve"> Sci</w:t>
      </w:r>
      <w:r w:rsidR="00E47BA9" w:rsidRPr="00E47BA9">
        <w:rPr>
          <w:rFonts w:asciiTheme="majorBidi" w:hAnsiTheme="majorBidi" w:cs="B Lotus"/>
          <w:sz w:val="24"/>
          <w:szCs w:val="24"/>
        </w:rPr>
        <w:t xml:space="preserve"> </w:t>
      </w:r>
      <w:r w:rsidR="00725719">
        <w:rPr>
          <w:rFonts w:asciiTheme="majorBidi" w:hAnsiTheme="majorBidi" w:cs="B Lotus"/>
          <w:sz w:val="24"/>
          <w:szCs w:val="24"/>
        </w:rPr>
        <w:t xml:space="preserve">2022; </w:t>
      </w:r>
      <w:r w:rsidR="00E47BA9" w:rsidRPr="00E47BA9">
        <w:rPr>
          <w:rFonts w:asciiTheme="majorBidi" w:hAnsiTheme="majorBidi" w:cs="B Lotus"/>
          <w:sz w:val="24"/>
          <w:szCs w:val="24"/>
        </w:rPr>
        <w:t>22</w:t>
      </w:r>
      <w:r w:rsidR="00725719">
        <w:rPr>
          <w:rFonts w:asciiTheme="majorBidi" w:hAnsiTheme="majorBidi" w:cs="B Lotus"/>
          <w:sz w:val="24"/>
          <w:szCs w:val="24"/>
        </w:rPr>
        <w:t xml:space="preserve"> (</w:t>
      </w:r>
      <w:r w:rsidR="00E47BA9" w:rsidRPr="00E47BA9">
        <w:rPr>
          <w:rFonts w:asciiTheme="majorBidi" w:hAnsiTheme="majorBidi" w:cs="B Lotus"/>
          <w:sz w:val="24"/>
          <w:szCs w:val="24"/>
        </w:rPr>
        <w:t>2</w:t>
      </w:r>
      <w:r w:rsidR="00725719">
        <w:rPr>
          <w:rFonts w:asciiTheme="majorBidi" w:hAnsiTheme="majorBidi" w:cs="B Lotus"/>
          <w:sz w:val="24"/>
          <w:szCs w:val="24"/>
        </w:rPr>
        <w:t>):</w:t>
      </w:r>
      <w:r w:rsidR="00E47BA9" w:rsidRPr="00E47BA9">
        <w:rPr>
          <w:rFonts w:asciiTheme="majorBidi" w:hAnsiTheme="majorBidi" w:cs="B Lotus"/>
          <w:sz w:val="24"/>
          <w:szCs w:val="24"/>
        </w:rPr>
        <w:t xml:space="preserve">128-140. </w:t>
      </w:r>
    </w:p>
    <w:p w:rsidR="00E47BA9" w:rsidRPr="00E47BA9" w:rsidRDefault="00E47BA9" w:rsidP="00725719">
      <w:pPr>
        <w:pStyle w:val="ListParagraph"/>
        <w:numPr>
          <w:ilvl w:val="0"/>
          <w:numId w:val="2"/>
        </w:numPr>
        <w:spacing w:line="276" w:lineRule="auto"/>
        <w:jc w:val="both"/>
        <w:rPr>
          <w:rFonts w:asciiTheme="majorBidi" w:hAnsiTheme="majorBidi" w:cs="B Lotus"/>
          <w:sz w:val="24"/>
          <w:szCs w:val="24"/>
          <w:lang w:bidi="fa-IR"/>
        </w:rPr>
      </w:pPr>
      <w:r w:rsidRPr="00E47BA9">
        <w:rPr>
          <w:rFonts w:asciiTheme="majorBidi" w:hAnsiTheme="majorBidi" w:cs="B Lotus"/>
          <w:sz w:val="24"/>
          <w:szCs w:val="24"/>
          <w:lang w:bidi="fa-IR"/>
        </w:rPr>
        <w:t>Fakhraei</w:t>
      </w:r>
      <w:r w:rsidR="00725719">
        <w:rPr>
          <w:rFonts w:asciiTheme="majorBidi" w:hAnsiTheme="majorBidi" w:cs="B Lotus"/>
          <w:sz w:val="24"/>
          <w:szCs w:val="24"/>
          <w:lang w:bidi="fa-IR"/>
        </w:rPr>
        <w:t xml:space="preserve"> </w:t>
      </w:r>
      <w:r w:rsidRPr="00E47BA9">
        <w:rPr>
          <w:rFonts w:asciiTheme="majorBidi" w:hAnsiTheme="majorBidi" w:cs="B Lotus"/>
          <w:sz w:val="24"/>
          <w:szCs w:val="24"/>
          <w:lang w:bidi="fa-IR"/>
        </w:rPr>
        <w:t>F, Hagshenas</w:t>
      </w:r>
      <w:r w:rsidR="00725719">
        <w:rPr>
          <w:rFonts w:asciiTheme="majorBidi" w:hAnsiTheme="majorBidi" w:cs="B Lotus"/>
          <w:sz w:val="24"/>
          <w:szCs w:val="24"/>
          <w:lang w:bidi="fa-IR"/>
        </w:rPr>
        <w:t xml:space="preserve"> </w:t>
      </w:r>
      <w:r w:rsidRPr="00E47BA9">
        <w:rPr>
          <w:rFonts w:asciiTheme="majorBidi" w:hAnsiTheme="majorBidi" w:cs="B Lotus"/>
          <w:sz w:val="24"/>
          <w:szCs w:val="24"/>
          <w:lang w:bidi="fa-IR"/>
        </w:rPr>
        <w:t>MR, Hosseini</w:t>
      </w:r>
      <w:r w:rsidR="00725719">
        <w:rPr>
          <w:rFonts w:asciiTheme="majorBidi" w:hAnsiTheme="majorBidi" w:cs="B Lotus"/>
          <w:sz w:val="24"/>
          <w:szCs w:val="24"/>
          <w:lang w:bidi="fa-IR"/>
        </w:rPr>
        <w:t xml:space="preserve"> </w:t>
      </w:r>
      <w:r w:rsidRPr="00E47BA9">
        <w:rPr>
          <w:rFonts w:asciiTheme="majorBidi" w:hAnsiTheme="majorBidi" w:cs="B Lotus"/>
          <w:sz w:val="24"/>
          <w:szCs w:val="24"/>
          <w:lang w:bidi="fa-IR"/>
        </w:rPr>
        <w:t>V, Rafiei</w:t>
      </w:r>
      <w:r w:rsidR="00725719">
        <w:rPr>
          <w:rFonts w:asciiTheme="majorBidi" w:hAnsiTheme="majorBidi" w:cs="B Lotus"/>
          <w:sz w:val="24"/>
          <w:szCs w:val="24"/>
          <w:lang w:bidi="fa-IR"/>
        </w:rPr>
        <w:t xml:space="preserve"> </w:t>
      </w:r>
      <w:r w:rsidRPr="00E47BA9">
        <w:rPr>
          <w:rFonts w:asciiTheme="majorBidi" w:hAnsiTheme="majorBidi" w:cs="B Lotus"/>
          <w:sz w:val="24"/>
          <w:szCs w:val="24"/>
          <w:lang w:bidi="fa-IR"/>
        </w:rPr>
        <w:t>A, Naghshvar</w:t>
      </w:r>
      <w:r w:rsidR="00725719">
        <w:rPr>
          <w:rFonts w:asciiTheme="majorBidi" w:hAnsiTheme="majorBidi" w:cs="B Lotus"/>
          <w:sz w:val="24"/>
          <w:szCs w:val="24"/>
          <w:lang w:bidi="fa-IR"/>
        </w:rPr>
        <w:t xml:space="preserve"> </w:t>
      </w:r>
      <w:r w:rsidRPr="00E47BA9">
        <w:rPr>
          <w:rFonts w:asciiTheme="majorBidi" w:hAnsiTheme="majorBidi" w:cs="B Lotus"/>
          <w:sz w:val="24"/>
          <w:szCs w:val="24"/>
          <w:lang w:bidi="fa-IR"/>
        </w:rPr>
        <w:t>F, Alizadeh-Navaei</w:t>
      </w:r>
      <w:r w:rsidR="00725719">
        <w:rPr>
          <w:rFonts w:asciiTheme="majorBidi" w:hAnsiTheme="majorBidi" w:cs="B Lotus"/>
          <w:sz w:val="24"/>
          <w:szCs w:val="24"/>
          <w:lang w:bidi="fa-IR"/>
        </w:rPr>
        <w:t xml:space="preserve"> </w:t>
      </w:r>
      <w:r w:rsidRPr="00E47BA9">
        <w:rPr>
          <w:rFonts w:asciiTheme="majorBidi" w:hAnsiTheme="majorBidi" w:cs="B Lotus"/>
          <w:sz w:val="24"/>
          <w:szCs w:val="24"/>
          <w:lang w:bidi="fa-IR"/>
        </w:rPr>
        <w:t>R. Detection of Human papillomavirus DNA in gastric carcinoma specimens in a high</w:t>
      </w:r>
      <w:r w:rsidR="00725719">
        <w:rPr>
          <w:rFonts w:asciiTheme="majorBidi" w:hAnsiTheme="majorBidi" w:cs="B Lotus"/>
          <w:sz w:val="24"/>
          <w:szCs w:val="24"/>
          <w:lang w:bidi="fa-IR"/>
        </w:rPr>
        <w:t>-risk region of Iran. Biomed</w:t>
      </w:r>
      <w:r w:rsidRPr="00E47BA9">
        <w:rPr>
          <w:rFonts w:asciiTheme="majorBidi" w:hAnsiTheme="majorBidi" w:cs="B Lotus"/>
          <w:sz w:val="24"/>
          <w:szCs w:val="24"/>
          <w:lang w:bidi="fa-IR"/>
        </w:rPr>
        <w:t xml:space="preserve"> Rep</w:t>
      </w:r>
      <w:r w:rsidR="00725719">
        <w:rPr>
          <w:rFonts w:asciiTheme="majorBidi" w:hAnsiTheme="majorBidi" w:cs="B Lotus"/>
          <w:sz w:val="24"/>
          <w:szCs w:val="24"/>
          <w:lang w:bidi="fa-IR"/>
        </w:rPr>
        <w:t xml:space="preserve"> </w:t>
      </w:r>
      <w:r w:rsidRPr="00E47BA9">
        <w:rPr>
          <w:rFonts w:asciiTheme="majorBidi" w:hAnsiTheme="majorBidi" w:cs="B Lotus"/>
          <w:sz w:val="24"/>
          <w:szCs w:val="24"/>
          <w:lang w:bidi="fa-IR"/>
        </w:rPr>
        <w:t>2016; 5: 371-375.</w:t>
      </w:r>
    </w:p>
    <w:p w:rsidR="0001658F" w:rsidRDefault="00E47BA9" w:rsidP="00257896">
      <w:pPr>
        <w:pStyle w:val="ListParagraph"/>
        <w:numPr>
          <w:ilvl w:val="0"/>
          <w:numId w:val="2"/>
        </w:numPr>
        <w:tabs>
          <w:tab w:val="left" w:pos="2940"/>
        </w:tabs>
        <w:spacing w:line="276" w:lineRule="auto"/>
        <w:jc w:val="both"/>
        <w:rPr>
          <w:rFonts w:asciiTheme="majorBidi" w:hAnsiTheme="majorBidi" w:cs="B Lotus"/>
          <w:sz w:val="24"/>
          <w:szCs w:val="24"/>
        </w:rPr>
      </w:pPr>
      <w:r w:rsidRPr="00E47BA9">
        <w:rPr>
          <w:rFonts w:asciiTheme="majorBidi" w:hAnsiTheme="majorBidi" w:cs="B Lotus"/>
          <w:sz w:val="24"/>
          <w:szCs w:val="24"/>
          <w:lang w:bidi="fa-IR"/>
        </w:rPr>
        <w:t>Roman BR, Aragones A. Epidemiology and incidence of HPV-related cancers of the head and neck. J Surg</w:t>
      </w:r>
      <w:r w:rsidR="00725719">
        <w:rPr>
          <w:rFonts w:asciiTheme="majorBidi" w:hAnsiTheme="majorBidi" w:cs="B Lotus"/>
          <w:sz w:val="24"/>
          <w:szCs w:val="24"/>
          <w:lang w:bidi="fa-IR"/>
        </w:rPr>
        <w:t xml:space="preserve"> o</w:t>
      </w:r>
      <w:r w:rsidRPr="00E47BA9">
        <w:rPr>
          <w:rFonts w:asciiTheme="majorBidi" w:hAnsiTheme="majorBidi" w:cs="B Lotus"/>
          <w:sz w:val="24"/>
          <w:szCs w:val="24"/>
          <w:lang w:bidi="fa-IR"/>
        </w:rPr>
        <w:t>ncol 2021</w:t>
      </w:r>
      <w:r w:rsidR="00725719">
        <w:rPr>
          <w:rFonts w:asciiTheme="majorBidi" w:hAnsiTheme="majorBidi" w:cs="B Lotus"/>
          <w:sz w:val="24"/>
          <w:szCs w:val="24"/>
          <w:lang w:bidi="fa-IR"/>
        </w:rPr>
        <w:t>;</w:t>
      </w:r>
      <w:r w:rsidRPr="00E47BA9">
        <w:rPr>
          <w:rFonts w:asciiTheme="majorBidi" w:hAnsiTheme="majorBidi" w:cs="B Lotus"/>
          <w:sz w:val="24"/>
          <w:szCs w:val="24"/>
          <w:lang w:bidi="fa-IR"/>
        </w:rPr>
        <w:t xml:space="preserve"> 124(6):920-922. </w:t>
      </w:r>
    </w:p>
    <w:p w:rsidR="00E47BA9" w:rsidRDefault="00257896" w:rsidP="00257896">
      <w:pPr>
        <w:pStyle w:val="ListParagraph"/>
        <w:numPr>
          <w:ilvl w:val="0"/>
          <w:numId w:val="2"/>
        </w:numPr>
        <w:tabs>
          <w:tab w:val="left" w:pos="2940"/>
        </w:tabs>
        <w:spacing w:line="276" w:lineRule="auto"/>
        <w:jc w:val="both"/>
        <w:rPr>
          <w:rFonts w:asciiTheme="majorBidi" w:hAnsiTheme="majorBidi" w:cs="B Lotus"/>
          <w:sz w:val="24"/>
          <w:szCs w:val="24"/>
        </w:rPr>
      </w:pPr>
      <w:r>
        <w:rPr>
          <w:rFonts w:asciiTheme="majorBidi" w:hAnsiTheme="majorBidi" w:cs="B Lotus"/>
          <w:sz w:val="24"/>
          <w:szCs w:val="24"/>
        </w:rPr>
        <w:t>Jensen</w:t>
      </w:r>
      <w:r w:rsidR="00E47BA9" w:rsidRPr="00E47BA9">
        <w:rPr>
          <w:rFonts w:asciiTheme="majorBidi" w:hAnsiTheme="majorBidi" w:cs="B Lotus"/>
          <w:sz w:val="24"/>
          <w:szCs w:val="24"/>
        </w:rPr>
        <w:t xml:space="preserve"> J</w:t>
      </w:r>
      <w:r>
        <w:rPr>
          <w:rFonts w:asciiTheme="majorBidi" w:hAnsiTheme="majorBidi" w:cs="B Lotus"/>
          <w:sz w:val="24"/>
          <w:szCs w:val="24"/>
        </w:rPr>
        <w:t xml:space="preserve"> </w:t>
      </w:r>
      <w:r w:rsidR="00E47BA9" w:rsidRPr="00E47BA9">
        <w:rPr>
          <w:rFonts w:asciiTheme="majorBidi" w:hAnsiTheme="majorBidi" w:cs="B Lotus"/>
          <w:sz w:val="24"/>
          <w:szCs w:val="24"/>
        </w:rPr>
        <w:t>E</w:t>
      </w:r>
      <w:r>
        <w:rPr>
          <w:rFonts w:asciiTheme="majorBidi" w:hAnsiTheme="majorBidi" w:cs="B Lotus"/>
          <w:sz w:val="24"/>
          <w:szCs w:val="24"/>
        </w:rPr>
        <w:t>,</w:t>
      </w:r>
      <w:r w:rsidR="00E47BA9" w:rsidRPr="00E47BA9">
        <w:rPr>
          <w:rFonts w:asciiTheme="majorBidi" w:hAnsiTheme="majorBidi" w:cs="B Lotus"/>
          <w:sz w:val="24"/>
          <w:szCs w:val="24"/>
        </w:rPr>
        <w:t xml:space="preserve"> Becker G</w:t>
      </w:r>
      <w:r>
        <w:rPr>
          <w:rFonts w:asciiTheme="majorBidi" w:hAnsiTheme="majorBidi" w:cs="B Lotus"/>
          <w:sz w:val="24"/>
          <w:szCs w:val="24"/>
        </w:rPr>
        <w:t xml:space="preserve"> </w:t>
      </w:r>
      <w:r w:rsidR="00E47BA9" w:rsidRPr="00E47BA9">
        <w:rPr>
          <w:rFonts w:asciiTheme="majorBidi" w:hAnsiTheme="majorBidi" w:cs="B Lotus"/>
          <w:sz w:val="24"/>
          <w:szCs w:val="24"/>
        </w:rPr>
        <w:t>L</w:t>
      </w:r>
      <w:r>
        <w:rPr>
          <w:rFonts w:asciiTheme="majorBidi" w:hAnsiTheme="majorBidi" w:cs="B Lotus"/>
          <w:sz w:val="24"/>
          <w:szCs w:val="24"/>
        </w:rPr>
        <w:t xml:space="preserve">, </w:t>
      </w:r>
      <w:r w:rsidR="00E47BA9" w:rsidRPr="00E47BA9">
        <w:rPr>
          <w:rFonts w:asciiTheme="majorBidi" w:hAnsiTheme="majorBidi" w:cs="B Lotus"/>
          <w:sz w:val="24"/>
          <w:szCs w:val="24"/>
        </w:rPr>
        <w:t>Jackson J</w:t>
      </w:r>
      <w:r>
        <w:rPr>
          <w:rFonts w:asciiTheme="majorBidi" w:hAnsiTheme="majorBidi" w:cs="B Lotus"/>
          <w:sz w:val="24"/>
          <w:szCs w:val="24"/>
        </w:rPr>
        <w:t xml:space="preserve"> </w:t>
      </w:r>
      <w:r w:rsidR="00E47BA9" w:rsidRPr="00E47BA9">
        <w:rPr>
          <w:rFonts w:asciiTheme="majorBidi" w:hAnsiTheme="majorBidi" w:cs="B Lotus"/>
          <w:sz w:val="24"/>
          <w:szCs w:val="24"/>
        </w:rPr>
        <w:t>B</w:t>
      </w:r>
      <w:r>
        <w:rPr>
          <w:rFonts w:asciiTheme="majorBidi" w:hAnsiTheme="majorBidi" w:cs="B Lotus"/>
          <w:sz w:val="24"/>
          <w:szCs w:val="24"/>
        </w:rPr>
        <w:t>,</w:t>
      </w:r>
      <w:r w:rsidR="00E47BA9" w:rsidRPr="00E47BA9">
        <w:rPr>
          <w:rFonts w:asciiTheme="majorBidi" w:hAnsiTheme="majorBidi" w:cs="B Lotus"/>
          <w:sz w:val="24"/>
          <w:szCs w:val="24"/>
        </w:rPr>
        <w:t xml:space="preserve"> Rysavy M</w:t>
      </w:r>
      <w:r>
        <w:rPr>
          <w:rFonts w:asciiTheme="majorBidi" w:hAnsiTheme="majorBidi" w:cs="B Lotus"/>
          <w:sz w:val="24"/>
          <w:szCs w:val="24"/>
        </w:rPr>
        <w:t xml:space="preserve"> </w:t>
      </w:r>
      <w:r w:rsidR="00E47BA9" w:rsidRPr="00E47BA9">
        <w:rPr>
          <w:rFonts w:asciiTheme="majorBidi" w:hAnsiTheme="majorBidi" w:cs="B Lotus"/>
          <w:sz w:val="24"/>
          <w:szCs w:val="24"/>
        </w:rPr>
        <w:t>B. Human</w:t>
      </w:r>
      <w:r>
        <w:rPr>
          <w:rFonts w:asciiTheme="majorBidi" w:hAnsiTheme="majorBidi" w:cs="B Lotus"/>
          <w:sz w:val="24"/>
          <w:szCs w:val="24"/>
        </w:rPr>
        <w:t xml:space="preserve"> </w:t>
      </w:r>
      <w:r w:rsidR="00E47BA9" w:rsidRPr="00E47BA9">
        <w:rPr>
          <w:rFonts w:asciiTheme="majorBidi" w:hAnsiTheme="majorBidi" w:cs="B Lotus"/>
          <w:sz w:val="24"/>
          <w:szCs w:val="24"/>
        </w:rPr>
        <w:t>Papillomavirus and Associated</w:t>
      </w:r>
      <w:r>
        <w:rPr>
          <w:rFonts w:asciiTheme="majorBidi" w:hAnsiTheme="majorBidi" w:cs="B Lotus"/>
          <w:sz w:val="24"/>
          <w:szCs w:val="24"/>
        </w:rPr>
        <w:t xml:space="preserve"> </w:t>
      </w:r>
      <w:r w:rsidR="00E47BA9" w:rsidRPr="00E47BA9">
        <w:rPr>
          <w:rFonts w:asciiTheme="majorBidi" w:hAnsiTheme="majorBidi" w:cs="B Lotus"/>
          <w:sz w:val="24"/>
          <w:szCs w:val="24"/>
        </w:rPr>
        <w:t>Cancers: A Review. Viruses 2024</w:t>
      </w:r>
      <w:r>
        <w:rPr>
          <w:rFonts w:asciiTheme="majorBidi" w:hAnsiTheme="majorBidi" w:cs="B Lotus"/>
          <w:sz w:val="24"/>
          <w:szCs w:val="24"/>
        </w:rPr>
        <w:t>;</w:t>
      </w:r>
      <w:r w:rsidR="00E47BA9" w:rsidRPr="00E47BA9">
        <w:rPr>
          <w:rFonts w:asciiTheme="majorBidi" w:hAnsiTheme="majorBidi" w:cs="B Lotus"/>
          <w:sz w:val="24"/>
          <w:szCs w:val="24"/>
        </w:rPr>
        <w:t>16</w:t>
      </w:r>
      <w:r>
        <w:rPr>
          <w:rFonts w:asciiTheme="majorBidi" w:hAnsiTheme="majorBidi" w:cs="B Lotus"/>
          <w:sz w:val="24"/>
          <w:szCs w:val="24"/>
        </w:rPr>
        <w:t>:</w:t>
      </w:r>
      <w:r w:rsidR="00E47BA9" w:rsidRPr="00E47BA9">
        <w:rPr>
          <w:rFonts w:asciiTheme="majorBidi" w:hAnsiTheme="majorBidi" w:cs="B Lotus"/>
          <w:sz w:val="24"/>
          <w:szCs w:val="24"/>
        </w:rPr>
        <w:t xml:space="preserve">680. </w:t>
      </w:r>
    </w:p>
    <w:p w:rsidR="00E47BA9" w:rsidRPr="00E47BA9" w:rsidRDefault="00E47BA9" w:rsidP="00910125">
      <w:pPr>
        <w:pStyle w:val="ListParagraph"/>
        <w:numPr>
          <w:ilvl w:val="0"/>
          <w:numId w:val="2"/>
        </w:numPr>
        <w:spacing w:line="276" w:lineRule="auto"/>
        <w:jc w:val="both"/>
        <w:rPr>
          <w:rFonts w:asciiTheme="majorBidi" w:hAnsiTheme="majorBidi" w:cs="B Lotus"/>
          <w:sz w:val="24"/>
          <w:szCs w:val="24"/>
        </w:rPr>
      </w:pPr>
      <w:r w:rsidRPr="00E47BA9">
        <w:rPr>
          <w:rFonts w:asciiTheme="majorBidi" w:hAnsiTheme="majorBidi" w:cs="B Lotus"/>
          <w:sz w:val="24"/>
          <w:szCs w:val="24"/>
        </w:rPr>
        <w:t>Jafari</w:t>
      </w:r>
      <w:r w:rsidR="00257896">
        <w:rPr>
          <w:rFonts w:asciiTheme="majorBidi" w:hAnsiTheme="majorBidi" w:cs="B Lotus"/>
          <w:sz w:val="24"/>
          <w:szCs w:val="24"/>
        </w:rPr>
        <w:t xml:space="preserve"> </w:t>
      </w:r>
      <w:r w:rsidRPr="00E47BA9">
        <w:rPr>
          <w:rFonts w:asciiTheme="majorBidi" w:hAnsiTheme="majorBidi" w:cs="B Lotus"/>
          <w:sz w:val="24"/>
          <w:szCs w:val="24"/>
        </w:rPr>
        <w:t>Sales A, Shariat A, Bannazadeh</w:t>
      </w:r>
      <w:r w:rsidR="00257896">
        <w:rPr>
          <w:rFonts w:asciiTheme="majorBidi" w:hAnsiTheme="majorBidi" w:cs="B Lotus"/>
          <w:sz w:val="24"/>
          <w:szCs w:val="24"/>
        </w:rPr>
        <w:t xml:space="preserve"> </w:t>
      </w:r>
      <w:r w:rsidRPr="00E47BA9">
        <w:rPr>
          <w:rFonts w:asciiTheme="majorBidi" w:hAnsiTheme="majorBidi" w:cs="B Lotus"/>
          <w:sz w:val="24"/>
          <w:szCs w:val="24"/>
        </w:rPr>
        <w:t>Baghi H, Baradaran B, Jafari B. Human Papillomavirus (HPV) Prevalence and E6 Protein Expression in Gastric Cancer Tissue Samples Compared with Non-malignant and Control Groups in East Azerbaijan Province, Iran, 2021. Iran J Med Microbiol 2023; 17(1):58-65.</w:t>
      </w:r>
    </w:p>
    <w:p w:rsidR="00E47BA9" w:rsidRDefault="003E4AD4" w:rsidP="00910125">
      <w:pPr>
        <w:pStyle w:val="ListParagraph"/>
        <w:numPr>
          <w:ilvl w:val="0"/>
          <w:numId w:val="2"/>
        </w:numPr>
        <w:tabs>
          <w:tab w:val="left" w:pos="2940"/>
        </w:tabs>
        <w:spacing w:line="276" w:lineRule="auto"/>
        <w:jc w:val="both"/>
        <w:rPr>
          <w:rFonts w:asciiTheme="majorBidi" w:hAnsiTheme="majorBidi" w:cs="B Lotus"/>
          <w:sz w:val="24"/>
          <w:szCs w:val="24"/>
        </w:rPr>
      </w:pPr>
      <w:r w:rsidRPr="003E4AD4">
        <w:rPr>
          <w:rFonts w:asciiTheme="majorBidi" w:hAnsiTheme="majorBidi" w:cs="B Lotus"/>
          <w:sz w:val="24"/>
          <w:szCs w:val="24"/>
        </w:rPr>
        <w:t>Milano G</w:t>
      </w:r>
      <w:r w:rsidR="00910125">
        <w:rPr>
          <w:rFonts w:asciiTheme="majorBidi" w:hAnsiTheme="majorBidi" w:cs="B Lotus"/>
          <w:sz w:val="24"/>
          <w:szCs w:val="24"/>
        </w:rPr>
        <w:t xml:space="preserve">, </w:t>
      </w:r>
      <w:r w:rsidRPr="003E4AD4">
        <w:rPr>
          <w:rFonts w:asciiTheme="majorBidi" w:hAnsiTheme="majorBidi" w:cs="B Lotus"/>
          <w:sz w:val="24"/>
          <w:szCs w:val="24"/>
        </w:rPr>
        <w:t>Guarducci G</w:t>
      </w:r>
      <w:r w:rsidR="00910125">
        <w:rPr>
          <w:rFonts w:asciiTheme="majorBidi" w:hAnsiTheme="majorBidi" w:cs="B Lotus"/>
          <w:sz w:val="24"/>
          <w:szCs w:val="24"/>
        </w:rPr>
        <w:t xml:space="preserve">, </w:t>
      </w:r>
      <w:r w:rsidRPr="003E4AD4">
        <w:rPr>
          <w:rFonts w:asciiTheme="majorBidi" w:hAnsiTheme="majorBidi" w:cs="B Lotus"/>
          <w:sz w:val="24"/>
          <w:szCs w:val="24"/>
        </w:rPr>
        <w:t>Nante, N</w:t>
      </w:r>
      <w:r w:rsidR="00910125">
        <w:rPr>
          <w:rFonts w:asciiTheme="majorBidi" w:hAnsiTheme="majorBidi" w:cs="B Lotus"/>
          <w:sz w:val="24"/>
          <w:szCs w:val="24"/>
        </w:rPr>
        <w:t>,</w:t>
      </w:r>
      <w:r w:rsidRPr="003E4AD4">
        <w:rPr>
          <w:rFonts w:asciiTheme="majorBidi" w:hAnsiTheme="majorBidi" w:cs="B Lotus"/>
          <w:sz w:val="24"/>
          <w:szCs w:val="24"/>
        </w:rPr>
        <w:t xml:space="preserve"> M</w:t>
      </w:r>
      <w:r w:rsidR="00910125">
        <w:rPr>
          <w:rFonts w:asciiTheme="majorBidi" w:hAnsiTheme="majorBidi" w:cs="B Lotus"/>
          <w:sz w:val="24"/>
          <w:szCs w:val="24"/>
        </w:rPr>
        <w:t>ontomoli</w:t>
      </w:r>
      <w:r w:rsidRPr="003E4AD4">
        <w:rPr>
          <w:rFonts w:asciiTheme="majorBidi" w:hAnsiTheme="majorBidi" w:cs="B Lotus"/>
          <w:sz w:val="24"/>
          <w:szCs w:val="24"/>
        </w:rPr>
        <w:t xml:space="preserve"> E</w:t>
      </w:r>
      <w:r w:rsidR="00910125">
        <w:rPr>
          <w:rFonts w:asciiTheme="majorBidi" w:hAnsiTheme="majorBidi" w:cs="B Lotus"/>
          <w:sz w:val="24"/>
          <w:szCs w:val="24"/>
        </w:rPr>
        <w:t>,</w:t>
      </w:r>
      <w:r w:rsidRPr="003E4AD4">
        <w:rPr>
          <w:rFonts w:asciiTheme="majorBidi" w:hAnsiTheme="majorBidi" w:cs="B Lotus"/>
          <w:sz w:val="24"/>
          <w:szCs w:val="24"/>
        </w:rPr>
        <w:t xml:space="preserve"> Manini I.</w:t>
      </w:r>
      <w:r w:rsidR="00910125">
        <w:rPr>
          <w:rFonts w:asciiTheme="majorBidi" w:hAnsiTheme="majorBidi" w:cs="B Lotus"/>
          <w:sz w:val="24"/>
          <w:szCs w:val="24"/>
        </w:rPr>
        <w:t xml:space="preserve"> </w:t>
      </w:r>
      <w:r w:rsidRPr="003E4AD4">
        <w:rPr>
          <w:rFonts w:asciiTheme="majorBidi" w:hAnsiTheme="majorBidi" w:cs="B Lotus"/>
          <w:sz w:val="24"/>
          <w:szCs w:val="24"/>
        </w:rPr>
        <w:t>Human Papillomavirus</w:t>
      </w:r>
      <w:r w:rsidR="00910125">
        <w:rPr>
          <w:rFonts w:asciiTheme="majorBidi" w:hAnsiTheme="majorBidi" w:cs="B Lotus"/>
          <w:sz w:val="24"/>
          <w:szCs w:val="24"/>
        </w:rPr>
        <w:t xml:space="preserve"> </w:t>
      </w:r>
      <w:r w:rsidRPr="003E4AD4">
        <w:rPr>
          <w:rFonts w:asciiTheme="majorBidi" w:hAnsiTheme="majorBidi" w:cs="B Lotus"/>
          <w:sz w:val="24"/>
          <w:szCs w:val="24"/>
        </w:rPr>
        <w:t>Epidemiology and Prevention: Is</w:t>
      </w:r>
      <w:r w:rsidR="00910125">
        <w:rPr>
          <w:rFonts w:asciiTheme="majorBidi" w:hAnsiTheme="majorBidi" w:cs="B Lotus"/>
          <w:sz w:val="24"/>
          <w:szCs w:val="24"/>
        </w:rPr>
        <w:t xml:space="preserve"> </w:t>
      </w:r>
      <w:r w:rsidRPr="003E4AD4">
        <w:rPr>
          <w:rFonts w:asciiTheme="majorBidi" w:hAnsiTheme="majorBidi" w:cs="B Lotus"/>
          <w:sz w:val="24"/>
          <w:szCs w:val="24"/>
        </w:rPr>
        <w:t>There Still a Gender Gap? Vaccines</w:t>
      </w:r>
      <w:r w:rsidR="00910125">
        <w:rPr>
          <w:rFonts w:asciiTheme="majorBidi" w:hAnsiTheme="majorBidi" w:cs="B Lotus"/>
          <w:sz w:val="24"/>
          <w:szCs w:val="24"/>
        </w:rPr>
        <w:t xml:space="preserve"> </w:t>
      </w:r>
      <w:r w:rsidRPr="003E4AD4">
        <w:rPr>
          <w:rFonts w:asciiTheme="majorBidi" w:hAnsiTheme="majorBidi" w:cs="B Lotus"/>
          <w:sz w:val="24"/>
          <w:szCs w:val="24"/>
        </w:rPr>
        <w:t>2023</w:t>
      </w:r>
      <w:r w:rsidR="00910125">
        <w:rPr>
          <w:rFonts w:asciiTheme="majorBidi" w:hAnsiTheme="majorBidi" w:cs="B Lotus"/>
          <w:sz w:val="24"/>
          <w:szCs w:val="24"/>
        </w:rPr>
        <w:t>;</w:t>
      </w:r>
      <w:r w:rsidRPr="003E4AD4">
        <w:rPr>
          <w:rFonts w:asciiTheme="majorBidi" w:hAnsiTheme="majorBidi" w:cs="B Lotus"/>
          <w:sz w:val="24"/>
          <w:szCs w:val="24"/>
        </w:rPr>
        <w:t xml:space="preserve"> 11</w:t>
      </w:r>
      <w:r w:rsidR="00910125">
        <w:rPr>
          <w:rFonts w:asciiTheme="majorBidi" w:hAnsiTheme="majorBidi" w:cs="B Lotus"/>
          <w:sz w:val="24"/>
          <w:szCs w:val="24"/>
        </w:rPr>
        <w:t>(6):</w:t>
      </w:r>
      <w:r w:rsidRPr="003E4AD4">
        <w:rPr>
          <w:rFonts w:asciiTheme="majorBidi" w:hAnsiTheme="majorBidi" w:cs="B Lotus"/>
          <w:sz w:val="24"/>
          <w:szCs w:val="24"/>
        </w:rPr>
        <w:t xml:space="preserve"> 1060.</w:t>
      </w:r>
    </w:p>
    <w:p w:rsidR="003E4AD4" w:rsidRDefault="003E4AD4" w:rsidP="00024D3F">
      <w:pPr>
        <w:pStyle w:val="ListParagraph"/>
        <w:numPr>
          <w:ilvl w:val="0"/>
          <w:numId w:val="2"/>
        </w:numPr>
        <w:tabs>
          <w:tab w:val="left" w:pos="2940"/>
        </w:tabs>
        <w:spacing w:line="276" w:lineRule="auto"/>
        <w:jc w:val="both"/>
        <w:rPr>
          <w:rFonts w:asciiTheme="majorBidi" w:hAnsiTheme="majorBidi" w:cs="B Lotus"/>
          <w:sz w:val="24"/>
          <w:szCs w:val="24"/>
        </w:rPr>
      </w:pPr>
      <w:r w:rsidRPr="003E4AD4">
        <w:rPr>
          <w:rFonts w:asciiTheme="majorBidi" w:hAnsiTheme="majorBidi" w:cs="B Lotus"/>
          <w:sz w:val="24"/>
          <w:szCs w:val="24"/>
        </w:rPr>
        <w:t>Olivera C, Paira DA, Olmedo A, Olmedo JJ,</w:t>
      </w:r>
      <w:r w:rsidR="00910125">
        <w:rPr>
          <w:rFonts w:asciiTheme="majorBidi" w:hAnsiTheme="majorBidi" w:cs="B Lotus"/>
          <w:sz w:val="24"/>
          <w:szCs w:val="24"/>
        </w:rPr>
        <w:t xml:space="preserve"> </w:t>
      </w:r>
      <w:r w:rsidRPr="003E4AD4">
        <w:rPr>
          <w:rFonts w:asciiTheme="majorBidi" w:hAnsiTheme="majorBidi" w:cs="B Lotus"/>
          <w:sz w:val="24"/>
          <w:szCs w:val="24"/>
        </w:rPr>
        <w:t>Tissera AD,</w:t>
      </w:r>
      <w:r w:rsidR="00910125">
        <w:rPr>
          <w:rFonts w:asciiTheme="majorBidi" w:hAnsiTheme="majorBidi" w:cs="B Lotus"/>
          <w:sz w:val="24"/>
          <w:szCs w:val="24"/>
        </w:rPr>
        <w:t xml:space="preserve"> </w:t>
      </w:r>
      <w:r w:rsidRPr="003E4AD4">
        <w:rPr>
          <w:rFonts w:asciiTheme="majorBidi" w:hAnsiTheme="majorBidi" w:cs="B Lotus"/>
          <w:sz w:val="24"/>
          <w:szCs w:val="24"/>
        </w:rPr>
        <w:t xml:space="preserve"> </w:t>
      </w:r>
      <w:r w:rsidR="00024D3F">
        <w:rPr>
          <w:rFonts w:asciiTheme="majorBidi" w:hAnsiTheme="majorBidi" w:cs="B Lotus"/>
          <w:sz w:val="24"/>
          <w:szCs w:val="24"/>
        </w:rPr>
        <w:t>et al.</w:t>
      </w:r>
      <w:r w:rsidRPr="003E4AD4">
        <w:rPr>
          <w:rFonts w:asciiTheme="majorBidi" w:hAnsiTheme="majorBidi" w:cs="B Lotus"/>
          <w:sz w:val="24"/>
          <w:szCs w:val="24"/>
        </w:rPr>
        <w:t xml:space="preserve"> Impact of high-risk and</w:t>
      </w:r>
      <w:r w:rsidR="00910125">
        <w:rPr>
          <w:rFonts w:asciiTheme="majorBidi" w:hAnsiTheme="majorBidi" w:cs="B Lotus"/>
          <w:sz w:val="24"/>
          <w:szCs w:val="24"/>
        </w:rPr>
        <w:t xml:space="preserve"> </w:t>
      </w:r>
      <w:r w:rsidRPr="003E4AD4">
        <w:rPr>
          <w:rFonts w:asciiTheme="majorBidi" w:hAnsiTheme="majorBidi" w:cs="B Lotus"/>
          <w:sz w:val="24"/>
          <w:szCs w:val="24"/>
        </w:rPr>
        <w:t>low-risk human papillomavirus infections on</w:t>
      </w:r>
      <w:r w:rsidR="00910125">
        <w:rPr>
          <w:rFonts w:asciiTheme="majorBidi" w:hAnsiTheme="majorBidi" w:cs="B Lotus"/>
          <w:sz w:val="24"/>
          <w:szCs w:val="24"/>
        </w:rPr>
        <w:t xml:space="preserve"> </w:t>
      </w:r>
      <w:r w:rsidRPr="003E4AD4">
        <w:rPr>
          <w:rFonts w:asciiTheme="majorBidi" w:hAnsiTheme="majorBidi" w:cs="B Lotus"/>
          <w:sz w:val="24"/>
          <w:szCs w:val="24"/>
        </w:rPr>
        <w:t>the male genital tract: effects on semen</w:t>
      </w:r>
      <w:r w:rsidR="00024D3F">
        <w:rPr>
          <w:rFonts w:asciiTheme="majorBidi" w:hAnsiTheme="majorBidi" w:cs="B Lotus"/>
          <w:sz w:val="24"/>
          <w:szCs w:val="24"/>
        </w:rPr>
        <w:t xml:space="preserve"> </w:t>
      </w:r>
      <w:r w:rsidRPr="003E4AD4">
        <w:rPr>
          <w:rFonts w:asciiTheme="majorBidi" w:hAnsiTheme="majorBidi" w:cs="B Lotus"/>
          <w:sz w:val="24"/>
          <w:szCs w:val="24"/>
        </w:rPr>
        <w:t>inflammation and sperm quality.</w:t>
      </w:r>
      <w:r w:rsidR="00024D3F">
        <w:rPr>
          <w:rFonts w:asciiTheme="majorBidi" w:hAnsiTheme="majorBidi" w:cs="B Lotus"/>
          <w:sz w:val="24"/>
          <w:szCs w:val="24"/>
        </w:rPr>
        <w:t xml:space="preserve"> </w:t>
      </w:r>
      <w:r w:rsidRPr="003E4AD4">
        <w:rPr>
          <w:rFonts w:asciiTheme="majorBidi" w:hAnsiTheme="majorBidi" w:cs="B Lotus"/>
          <w:sz w:val="24"/>
          <w:szCs w:val="24"/>
        </w:rPr>
        <w:t>Front Cell Infect Microbiol</w:t>
      </w:r>
      <w:r w:rsidR="00024D3F">
        <w:rPr>
          <w:rFonts w:asciiTheme="majorBidi" w:hAnsiTheme="majorBidi" w:cs="B Lotus"/>
          <w:sz w:val="24"/>
          <w:szCs w:val="24"/>
        </w:rPr>
        <w:t xml:space="preserve"> 2024:</w:t>
      </w:r>
      <w:r w:rsidRPr="003E4AD4">
        <w:rPr>
          <w:rFonts w:asciiTheme="majorBidi" w:hAnsiTheme="majorBidi" w:cs="B Lotus"/>
          <w:sz w:val="24"/>
          <w:szCs w:val="24"/>
        </w:rPr>
        <w:t xml:space="preserve"> 14:1420307</w:t>
      </w:r>
      <w:r w:rsidR="00024D3F">
        <w:rPr>
          <w:rFonts w:asciiTheme="majorBidi" w:hAnsiTheme="majorBidi" w:cs="B Lotus"/>
          <w:sz w:val="24"/>
          <w:szCs w:val="24"/>
        </w:rPr>
        <w:t>.</w:t>
      </w:r>
      <w:r>
        <w:rPr>
          <w:rFonts w:asciiTheme="majorBidi" w:hAnsiTheme="majorBidi" w:cs="B Lotus"/>
          <w:sz w:val="24"/>
          <w:szCs w:val="24"/>
        </w:rPr>
        <w:t xml:space="preserve"> </w:t>
      </w:r>
    </w:p>
    <w:p w:rsidR="003E4AD4" w:rsidRDefault="003E4AD4" w:rsidP="00315534">
      <w:pPr>
        <w:pStyle w:val="ListParagraph"/>
        <w:numPr>
          <w:ilvl w:val="0"/>
          <w:numId w:val="2"/>
        </w:numPr>
        <w:tabs>
          <w:tab w:val="left" w:pos="2940"/>
        </w:tabs>
        <w:spacing w:line="276" w:lineRule="auto"/>
        <w:jc w:val="both"/>
        <w:rPr>
          <w:rFonts w:asciiTheme="majorBidi" w:hAnsiTheme="majorBidi" w:cs="B Lotus"/>
          <w:sz w:val="24"/>
          <w:szCs w:val="24"/>
        </w:rPr>
      </w:pPr>
      <w:r w:rsidRPr="003E4AD4">
        <w:rPr>
          <w:rFonts w:asciiTheme="majorBidi" w:hAnsiTheme="majorBidi" w:cs="B Lotus"/>
          <w:sz w:val="24"/>
          <w:szCs w:val="24"/>
        </w:rPr>
        <w:t>Szymonowicz KA, Chen J. Biological and clinical aspects of HPV</w:t>
      </w:r>
      <w:r w:rsidR="00315534">
        <w:rPr>
          <w:rFonts w:asciiTheme="majorBidi" w:hAnsiTheme="majorBidi" w:cs="B Lotus"/>
          <w:sz w:val="24"/>
          <w:szCs w:val="24"/>
        </w:rPr>
        <w:t>-</w:t>
      </w:r>
      <w:r w:rsidRPr="003E4AD4">
        <w:rPr>
          <w:rFonts w:asciiTheme="majorBidi" w:hAnsiTheme="majorBidi" w:cs="B Lotus"/>
          <w:sz w:val="24"/>
          <w:szCs w:val="24"/>
        </w:rPr>
        <w:t>r</w:t>
      </w:r>
      <w:r w:rsidR="00024D3F">
        <w:rPr>
          <w:rFonts w:asciiTheme="majorBidi" w:hAnsiTheme="majorBidi" w:cs="B Lotus"/>
          <w:sz w:val="24"/>
          <w:szCs w:val="24"/>
        </w:rPr>
        <w:t xml:space="preserve">elated cancers. Cancer Biol Med </w:t>
      </w:r>
      <w:r w:rsidRPr="003E4AD4">
        <w:rPr>
          <w:rFonts w:asciiTheme="majorBidi" w:hAnsiTheme="majorBidi" w:cs="B Lotus"/>
          <w:sz w:val="24"/>
          <w:szCs w:val="24"/>
        </w:rPr>
        <w:t>2020</w:t>
      </w:r>
      <w:r w:rsidR="00024D3F">
        <w:rPr>
          <w:rFonts w:asciiTheme="majorBidi" w:hAnsiTheme="majorBidi" w:cs="B Lotus"/>
          <w:sz w:val="24"/>
          <w:szCs w:val="24"/>
        </w:rPr>
        <w:t xml:space="preserve">: </w:t>
      </w:r>
      <w:r w:rsidRPr="003E4AD4">
        <w:rPr>
          <w:rFonts w:asciiTheme="majorBidi" w:hAnsiTheme="majorBidi" w:cs="B Lotus"/>
          <w:sz w:val="24"/>
          <w:szCs w:val="24"/>
        </w:rPr>
        <w:t>17(4):864-878.</w:t>
      </w:r>
    </w:p>
    <w:p w:rsidR="00CF2A1B" w:rsidRDefault="00CF2A1B" w:rsidP="006E73EB">
      <w:pPr>
        <w:pStyle w:val="ListParagraph"/>
        <w:numPr>
          <w:ilvl w:val="0"/>
          <w:numId w:val="2"/>
        </w:numPr>
        <w:tabs>
          <w:tab w:val="left" w:pos="2940"/>
        </w:tabs>
        <w:spacing w:line="276" w:lineRule="auto"/>
        <w:jc w:val="both"/>
        <w:rPr>
          <w:rFonts w:asciiTheme="majorBidi" w:hAnsiTheme="majorBidi" w:cs="B Lotus"/>
          <w:sz w:val="24"/>
          <w:szCs w:val="24"/>
        </w:rPr>
      </w:pPr>
      <w:r w:rsidRPr="00CF2A1B">
        <w:rPr>
          <w:rFonts w:asciiTheme="majorBidi" w:hAnsiTheme="majorBidi" w:cs="B Lotus"/>
          <w:sz w:val="24"/>
          <w:szCs w:val="24"/>
        </w:rPr>
        <w:t>Soheili M, Keyvani H, Soheili M, Nasseri S. Human papillomavirus: A review study of epidemiology, carcinogenesis, diagnostic methods, and treatment of all HPV-related cancers. Med J Islam Repub Iran</w:t>
      </w:r>
      <w:r w:rsidR="00315534">
        <w:rPr>
          <w:rFonts w:asciiTheme="majorBidi" w:hAnsiTheme="majorBidi" w:cs="B Lotus"/>
          <w:sz w:val="24"/>
          <w:szCs w:val="24"/>
        </w:rPr>
        <w:t xml:space="preserve"> </w:t>
      </w:r>
      <w:r w:rsidRPr="00CF2A1B">
        <w:rPr>
          <w:rFonts w:asciiTheme="majorBidi" w:hAnsiTheme="majorBidi" w:cs="B Lotus"/>
          <w:sz w:val="24"/>
          <w:szCs w:val="24"/>
        </w:rPr>
        <w:t>2021</w:t>
      </w:r>
      <w:r w:rsidR="00315534">
        <w:rPr>
          <w:rFonts w:asciiTheme="majorBidi" w:hAnsiTheme="majorBidi" w:cs="B Lotus"/>
          <w:sz w:val="24"/>
          <w:szCs w:val="24"/>
        </w:rPr>
        <w:t>;</w:t>
      </w:r>
      <w:r w:rsidRPr="00CF2A1B">
        <w:rPr>
          <w:rFonts w:asciiTheme="majorBidi" w:hAnsiTheme="majorBidi" w:cs="B Lotus"/>
          <w:sz w:val="24"/>
          <w:szCs w:val="24"/>
        </w:rPr>
        <w:t xml:space="preserve"> 35:65. </w:t>
      </w:r>
    </w:p>
    <w:p w:rsidR="00CF2A1B" w:rsidRDefault="00CF2A1B" w:rsidP="00315534">
      <w:pPr>
        <w:pStyle w:val="ListParagraph"/>
        <w:numPr>
          <w:ilvl w:val="0"/>
          <w:numId w:val="2"/>
        </w:numPr>
        <w:tabs>
          <w:tab w:val="left" w:pos="2940"/>
        </w:tabs>
        <w:spacing w:line="276" w:lineRule="auto"/>
        <w:jc w:val="both"/>
        <w:rPr>
          <w:rFonts w:asciiTheme="majorBidi" w:hAnsiTheme="majorBidi" w:cs="B Lotus"/>
          <w:sz w:val="24"/>
          <w:szCs w:val="24"/>
        </w:rPr>
      </w:pPr>
      <w:r w:rsidRPr="00CF2A1B">
        <w:rPr>
          <w:rFonts w:asciiTheme="majorBidi" w:hAnsiTheme="majorBidi" w:cs="B Lotus"/>
          <w:sz w:val="24"/>
          <w:szCs w:val="24"/>
        </w:rPr>
        <w:t xml:space="preserve">Kamangar F, Qiao YL, Schiller JT, Dawsey SM, Fears T, </w:t>
      </w:r>
      <w:r w:rsidR="00315534">
        <w:rPr>
          <w:rFonts w:asciiTheme="majorBidi" w:hAnsiTheme="majorBidi" w:cs="B Lotus"/>
          <w:sz w:val="24"/>
          <w:szCs w:val="24"/>
        </w:rPr>
        <w:t>et al.</w:t>
      </w:r>
      <w:r w:rsidRPr="00CF2A1B">
        <w:rPr>
          <w:rFonts w:asciiTheme="majorBidi" w:hAnsiTheme="majorBidi" w:cs="B Lotus"/>
          <w:sz w:val="24"/>
          <w:szCs w:val="24"/>
        </w:rPr>
        <w:t>. Human papillomavirus serology and the risk of esophageal and gastric cancers: results from a cohort in a high-risk region in China. Int J Cancer</w:t>
      </w:r>
      <w:r w:rsidR="00315534">
        <w:rPr>
          <w:rFonts w:asciiTheme="majorBidi" w:hAnsiTheme="majorBidi" w:cs="B Lotus"/>
          <w:sz w:val="24"/>
          <w:szCs w:val="24"/>
        </w:rPr>
        <w:t xml:space="preserve"> </w:t>
      </w:r>
      <w:r w:rsidRPr="00CF2A1B">
        <w:rPr>
          <w:rFonts w:asciiTheme="majorBidi" w:hAnsiTheme="majorBidi" w:cs="B Lotus"/>
          <w:sz w:val="24"/>
          <w:szCs w:val="24"/>
        </w:rPr>
        <w:t>2006;</w:t>
      </w:r>
      <w:r w:rsidR="00315534">
        <w:rPr>
          <w:rFonts w:asciiTheme="majorBidi" w:hAnsiTheme="majorBidi" w:cs="B Lotus"/>
          <w:sz w:val="24"/>
          <w:szCs w:val="24"/>
        </w:rPr>
        <w:t xml:space="preserve"> </w:t>
      </w:r>
      <w:r w:rsidRPr="00CF2A1B">
        <w:rPr>
          <w:rFonts w:asciiTheme="majorBidi" w:hAnsiTheme="majorBidi" w:cs="B Lotus"/>
          <w:sz w:val="24"/>
          <w:szCs w:val="24"/>
        </w:rPr>
        <w:t xml:space="preserve">119(3):579-84. </w:t>
      </w:r>
    </w:p>
    <w:p w:rsidR="00CF2A1B" w:rsidRDefault="00CF2A1B" w:rsidP="00FD0388">
      <w:pPr>
        <w:pStyle w:val="ListParagraph"/>
        <w:numPr>
          <w:ilvl w:val="0"/>
          <w:numId w:val="2"/>
        </w:numPr>
        <w:tabs>
          <w:tab w:val="left" w:pos="2940"/>
        </w:tabs>
        <w:spacing w:line="276" w:lineRule="auto"/>
        <w:jc w:val="both"/>
        <w:rPr>
          <w:rFonts w:asciiTheme="majorBidi" w:hAnsiTheme="majorBidi" w:cs="B Lotus"/>
          <w:sz w:val="24"/>
          <w:szCs w:val="24"/>
        </w:rPr>
      </w:pPr>
      <w:r w:rsidRPr="00CF2A1B">
        <w:rPr>
          <w:rFonts w:asciiTheme="majorBidi" w:hAnsiTheme="majorBidi" w:cs="B Lotus"/>
          <w:sz w:val="24"/>
          <w:szCs w:val="24"/>
        </w:rPr>
        <w:t>Yuan XY, Wang MY, Wang XY, Chang AY, Li J. Non-detection of Epstein-Barr virus and Human Papillomavirus in a region of high gastric cancer risk indicates a lack of a role for these viruses in gastric car</w:t>
      </w:r>
      <w:r w:rsidR="00FD0388">
        <w:rPr>
          <w:rFonts w:asciiTheme="majorBidi" w:hAnsiTheme="majorBidi" w:cs="B Lotus"/>
          <w:sz w:val="24"/>
          <w:szCs w:val="24"/>
        </w:rPr>
        <w:t xml:space="preserve">cinomas. Genet Mol Biol </w:t>
      </w:r>
      <w:r w:rsidRPr="00CF2A1B">
        <w:rPr>
          <w:rFonts w:asciiTheme="majorBidi" w:hAnsiTheme="majorBidi" w:cs="B Lotus"/>
          <w:sz w:val="24"/>
          <w:szCs w:val="24"/>
        </w:rPr>
        <w:t>2013</w:t>
      </w:r>
      <w:r w:rsidR="00FD0388">
        <w:rPr>
          <w:rFonts w:asciiTheme="majorBidi" w:hAnsiTheme="majorBidi" w:cs="B Lotus"/>
          <w:sz w:val="24"/>
          <w:szCs w:val="24"/>
        </w:rPr>
        <w:t xml:space="preserve">; </w:t>
      </w:r>
      <w:r w:rsidRPr="00CF2A1B">
        <w:rPr>
          <w:rFonts w:asciiTheme="majorBidi" w:hAnsiTheme="majorBidi" w:cs="B Lotus"/>
          <w:sz w:val="24"/>
          <w:szCs w:val="24"/>
        </w:rPr>
        <w:t>36(2):183-4.</w:t>
      </w:r>
    </w:p>
    <w:p w:rsidR="00CF2A1B" w:rsidRDefault="00FD0388" w:rsidP="00FD0388">
      <w:pPr>
        <w:pStyle w:val="ListParagraph"/>
        <w:numPr>
          <w:ilvl w:val="0"/>
          <w:numId w:val="2"/>
        </w:numPr>
        <w:tabs>
          <w:tab w:val="left" w:pos="2940"/>
        </w:tabs>
        <w:spacing w:line="276" w:lineRule="auto"/>
        <w:jc w:val="both"/>
        <w:rPr>
          <w:rFonts w:asciiTheme="majorBidi" w:hAnsiTheme="majorBidi" w:cs="B Lotus"/>
          <w:sz w:val="24"/>
          <w:szCs w:val="24"/>
        </w:rPr>
      </w:pPr>
      <w:r w:rsidRPr="00FD0388">
        <w:rPr>
          <w:rFonts w:asciiTheme="majorBidi" w:hAnsiTheme="majorBidi" w:cs="B Lotus"/>
          <w:sz w:val="24"/>
          <w:szCs w:val="24"/>
        </w:rPr>
        <w:t>Cândido AC, de Lima Filho JL, Martins DB, Mendes CM, Vieira JR, Ferraz AA</w:t>
      </w:r>
      <w:r w:rsidR="00CF2A1B" w:rsidRPr="00CF2A1B">
        <w:rPr>
          <w:rFonts w:asciiTheme="majorBidi" w:hAnsiTheme="majorBidi" w:cs="B Lotus"/>
          <w:sz w:val="24"/>
          <w:szCs w:val="24"/>
        </w:rPr>
        <w:t>. Association of humanpapillomavirus genomic sequences by</w:t>
      </w:r>
      <w:r>
        <w:rPr>
          <w:rFonts w:asciiTheme="majorBidi" w:hAnsiTheme="majorBidi" w:cs="B Lotus"/>
          <w:sz w:val="24"/>
          <w:szCs w:val="24"/>
        </w:rPr>
        <w:t xml:space="preserve"> </w:t>
      </w:r>
      <w:r w:rsidR="00CF2A1B" w:rsidRPr="00CF2A1B">
        <w:rPr>
          <w:rFonts w:asciiTheme="majorBidi" w:hAnsiTheme="majorBidi" w:cs="B Lotus"/>
          <w:sz w:val="24"/>
          <w:szCs w:val="24"/>
        </w:rPr>
        <w:t>polymerase chain reaction in gastric carcinomas</w:t>
      </w:r>
      <w:r>
        <w:rPr>
          <w:rFonts w:asciiTheme="majorBidi" w:hAnsiTheme="majorBidi" w:cs="B Lotus"/>
          <w:sz w:val="24"/>
          <w:szCs w:val="24"/>
        </w:rPr>
        <w:t xml:space="preserve"> </w:t>
      </w:r>
      <w:r w:rsidR="00CF2A1B" w:rsidRPr="00CF2A1B">
        <w:rPr>
          <w:rFonts w:asciiTheme="majorBidi" w:hAnsiTheme="majorBidi" w:cs="B Lotus"/>
          <w:sz w:val="24"/>
          <w:szCs w:val="24"/>
        </w:rPr>
        <w:t>in Brazil. Anal Quant Cytopathol</w:t>
      </w:r>
      <w:r>
        <w:rPr>
          <w:rFonts w:asciiTheme="majorBidi" w:hAnsiTheme="majorBidi" w:cs="B Lotus"/>
          <w:sz w:val="24"/>
          <w:szCs w:val="24"/>
        </w:rPr>
        <w:t xml:space="preserve"> </w:t>
      </w:r>
      <w:r w:rsidR="00CF2A1B" w:rsidRPr="00CF2A1B">
        <w:rPr>
          <w:rFonts w:asciiTheme="majorBidi" w:hAnsiTheme="majorBidi" w:cs="B Lotus"/>
          <w:sz w:val="24"/>
          <w:szCs w:val="24"/>
        </w:rPr>
        <w:t>Histpathol 2013;</w:t>
      </w:r>
      <w:r>
        <w:rPr>
          <w:rFonts w:asciiTheme="majorBidi" w:hAnsiTheme="majorBidi" w:cs="B Lotus"/>
          <w:sz w:val="24"/>
          <w:szCs w:val="24"/>
        </w:rPr>
        <w:t xml:space="preserve"> </w:t>
      </w:r>
      <w:r w:rsidR="00CF2A1B" w:rsidRPr="00CF2A1B">
        <w:rPr>
          <w:rFonts w:asciiTheme="majorBidi" w:hAnsiTheme="majorBidi" w:cs="B Lotus"/>
          <w:sz w:val="24"/>
          <w:szCs w:val="24"/>
        </w:rPr>
        <w:t>35(1):1-6.</w:t>
      </w:r>
    </w:p>
    <w:p w:rsidR="00CF2A1B" w:rsidRDefault="00CF2A1B" w:rsidP="00A34AAA">
      <w:pPr>
        <w:pStyle w:val="ListParagraph"/>
        <w:numPr>
          <w:ilvl w:val="0"/>
          <w:numId w:val="2"/>
        </w:numPr>
        <w:tabs>
          <w:tab w:val="left" w:pos="2940"/>
        </w:tabs>
        <w:spacing w:line="276" w:lineRule="auto"/>
        <w:jc w:val="both"/>
        <w:rPr>
          <w:rFonts w:asciiTheme="majorBidi" w:hAnsiTheme="majorBidi" w:cs="B Lotus"/>
          <w:sz w:val="24"/>
          <w:szCs w:val="24"/>
        </w:rPr>
      </w:pPr>
      <w:r w:rsidRPr="00CF2A1B">
        <w:rPr>
          <w:rFonts w:asciiTheme="majorBidi" w:hAnsiTheme="majorBidi" w:cs="B Lotus"/>
          <w:sz w:val="24"/>
          <w:szCs w:val="24"/>
        </w:rPr>
        <w:t>Omer Mohamed</w:t>
      </w:r>
      <w:r w:rsidR="00A34AAA">
        <w:rPr>
          <w:rFonts w:asciiTheme="majorBidi" w:hAnsiTheme="majorBidi" w:cs="B Lotus"/>
          <w:sz w:val="24"/>
          <w:szCs w:val="24"/>
        </w:rPr>
        <w:t xml:space="preserve"> R</w:t>
      </w:r>
      <w:r w:rsidRPr="00CF2A1B">
        <w:rPr>
          <w:rFonts w:asciiTheme="majorBidi" w:hAnsiTheme="majorBidi" w:cs="B Lotus"/>
          <w:sz w:val="24"/>
          <w:szCs w:val="24"/>
        </w:rPr>
        <w:t>, Elemam</w:t>
      </w:r>
      <w:r w:rsidR="00A34AAA">
        <w:rPr>
          <w:rFonts w:asciiTheme="majorBidi" w:hAnsiTheme="majorBidi" w:cs="B Lotus"/>
          <w:sz w:val="24"/>
          <w:szCs w:val="24"/>
        </w:rPr>
        <w:t xml:space="preserve"> I</w:t>
      </w:r>
      <w:r w:rsidRPr="00CF2A1B">
        <w:rPr>
          <w:rFonts w:asciiTheme="majorBidi" w:hAnsiTheme="majorBidi" w:cs="B Lotus"/>
          <w:sz w:val="24"/>
          <w:szCs w:val="24"/>
        </w:rPr>
        <w:t>, Mohammed Satti</w:t>
      </w:r>
      <w:r w:rsidR="00A34AAA">
        <w:rPr>
          <w:rFonts w:asciiTheme="majorBidi" w:hAnsiTheme="majorBidi" w:cs="B Lotus"/>
          <w:sz w:val="24"/>
          <w:szCs w:val="24"/>
        </w:rPr>
        <w:t xml:space="preserve"> M,</w:t>
      </w:r>
      <w:r w:rsidRPr="00CF2A1B">
        <w:rPr>
          <w:rFonts w:asciiTheme="majorBidi" w:hAnsiTheme="majorBidi" w:cs="B Lotus"/>
          <w:sz w:val="24"/>
          <w:szCs w:val="24"/>
        </w:rPr>
        <w:t xml:space="preserve"> Mohammed Elhaj</w:t>
      </w:r>
      <w:r w:rsidR="00A34AAA">
        <w:rPr>
          <w:rFonts w:asciiTheme="majorBidi" w:hAnsiTheme="majorBidi" w:cs="B Lotus"/>
          <w:sz w:val="24"/>
          <w:szCs w:val="24"/>
        </w:rPr>
        <w:t xml:space="preserve"> I</w:t>
      </w:r>
      <w:r w:rsidRPr="00CF2A1B">
        <w:rPr>
          <w:rFonts w:asciiTheme="majorBidi" w:hAnsiTheme="majorBidi" w:cs="B Lotus"/>
          <w:sz w:val="24"/>
          <w:szCs w:val="24"/>
        </w:rPr>
        <w:t>. Immunohistochemical Based Detection of HPV in Gastric Cancer among Sudanese Patient.</w:t>
      </w:r>
      <w:r w:rsidR="00A34AAA">
        <w:rPr>
          <w:rFonts w:asciiTheme="majorBidi" w:hAnsiTheme="majorBidi" w:cs="B Lotus"/>
          <w:sz w:val="24"/>
          <w:szCs w:val="24"/>
        </w:rPr>
        <w:t xml:space="preserve"> </w:t>
      </w:r>
      <w:r w:rsidRPr="00CF2A1B">
        <w:rPr>
          <w:rFonts w:asciiTheme="majorBidi" w:hAnsiTheme="majorBidi" w:cs="B Lotus"/>
          <w:sz w:val="24"/>
          <w:szCs w:val="24"/>
        </w:rPr>
        <w:t>Int</w:t>
      </w:r>
      <w:r w:rsidR="00A34AAA">
        <w:rPr>
          <w:rFonts w:asciiTheme="majorBidi" w:hAnsiTheme="majorBidi" w:cs="B Lotus"/>
          <w:sz w:val="24"/>
          <w:szCs w:val="24"/>
        </w:rPr>
        <w:t xml:space="preserve"> </w:t>
      </w:r>
      <w:r w:rsidRPr="00CF2A1B">
        <w:rPr>
          <w:rFonts w:asciiTheme="majorBidi" w:hAnsiTheme="majorBidi" w:cs="B Lotus"/>
          <w:sz w:val="24"/>
          <w:szCs w:val="24"/>
        </w:rPr>
        <w:t>J</w:t>
      </w:r>
      <w:r w:rsidR="00A34AAA">
        <w:rPr>
          <w:rFonts w:asciiTheme="majorBidi" w:hAnsiTheme="majorBidi" w:cs="B Lotus"/>
          <w:sz w:val="24"/>
          <w:szCs w:val="24"/>
        </w:rPr>
        <w:t xml:space="preserve"> </w:t>
      </w:r>
      <w:r w:rsidRPr="00CF2A1B">
        <w:rPr>
          <w:rFonts w:asciiTheme="majorBidi" w:hAnsiTheme="majorBidi" w:cs="B Lotus"/>
          <w:sz w:val="24"/>
          <w:szCs w:val="24"/>
        </w:rPr>
        <w:t>Curr</w:t>
      </w:r>
      <w:r w:rsidR="00A34AAA">
        <w:rPr>
          <w:rFonts w:asciiTheme="majorBidi" w:hAnsiTheme="majorBidi" w:cs="B Lotus"/>
          <w:sz w:val="24"/>
          <w:szCs w:val="24"/>
        </w:rPr>
        <w:t xml:space="preserve"> </w:t>
      </w:r>
      <w:r w:rsidRPr="00CF2A1B">
        <w:rPr>
          <w:rFonts w:asciiTheme="majorBidi" w:hAnsiTheme="majorBidi" w:cs="B Lotus"/>
          <w:sz w:val="24"/>
          <w:szCs w:val="24"/>
        </w:rPr>
        <w:t>Res</w:t>
      </w:r>
      <w:r w:rsidR="00A34AAA">
        <w:rPr>
          <w:rFonts w:asciiTheme="majorBidi" w:hAnsiTheme="majorBidi" w:cs="B Lotus"/>
          <w:sz w:val="24"/>
          <w:szCs w:val="24"/>
        </w:rPr>
        <w:t xml:space="preserve"> </w:t>
      </w:r>
      <w:r w:rsidRPr="00CF2A1B">
        <w:rPr>
          <w:rFonts w:asciiTheme="majorBidi" w:hAnsiTheme="majorBidi" w:cs="B Lotus"/>
          <w:sz w:val="24"/>
          <w:szCs w:val="24"/>
        </w:rPr>
        <w:t>Aca</w:t>
      </w:r>
      <w:r w:rsidR="00A34AAA">
        <w:rPr>
          <w:rFonts w:asciiTheme="majorBidi" w:hAnsiTheme="majorBidi" w:cs="B Lotus"/>
          <w:sz w:val="24"/>
          <w:szCs w:val="24"/>
        </w:rPr>
        <w:t xml:space="preserve"> </w:t>
      </w:r>
      <w:r w:rsidRPr="00CF2A1B">
        <w:rPr>
          <w:rFonts w:asciiTheme="majorBidi" w:hAnsiTheme="majorBidi" w:cs="B Lotus"/>
          <w:sz w:val="24"/>
          <w:szCs w:val="24"/>
        </w:rPr>
        <w:t>Rev</w:t>
      </w:r>
      <w:r w:rsidR="00A34AAA">
        <w:rPr>
          <w:rFonts w:asciiTheme="majorBidi" w:hAnsiTheme="majorBidi" w:cs="B Lotus"/>
          <w:sz w:val="24"/>
          <w:szCs w:val="24"/>
        </w:rPr>
        <w:t xml:space="preserve"> 2016;</w:t>
      </w:r>
      <w:r w:rsidR="00A34AAA" w:rsidRPr="00CF2A1B">
        <w:rPr>
          <w:rFonts w:asciiTheme="majorBidi" w:hAnsiTheme="majorBidi" w:cs="B Lotus"/>
          <w:sz w:val="24"/>
          <w:szCs w:val="24"/>
        </w:rPr>
        <w:t xml:space="preserve"> 4</w:t>
      </w:r>
      <w:r w:rsidRPr="00CF2A1B">
        <w:rPr>
          <w:rFonts w:asciiTheme="majorBidi" w:hAnsiTheme="majorBidi" w:cs="B Lotus"/>
          <w:sz w:val="24"/>
          <w:szCs w:val="24"/>
        </w:rPr>
        <w:t>(2):56-62</w:t>
      </w:r>
      <w:r w:rsidR="00A34AAA">
        <w:rPr>
          <w:rFonts w:asciiTheme="majorBidi" w:hAnsiTheme="majorBidi" w:cs="B Lotus"/>
          <w:sz w:val="24"/>
          <w:szCs w:val="24"/>
        </w:rPr>
        <w:t>.</w:t>
      </w:r>
    </w:p>
    <w:p w:rsidR="00CB1EEA" w:rsidRDefault="00CB1EEA" w:rsidP="00A34AAA">
      <w:pPr>
        <w:pStyle w:val="ListParagraph"/>
        <w:numPr>
          <w:ilvl w:val="0"/>
          <w:numId w:val="2"/>
        </w:numPr>
        <w:tabs>
          <w:tab w:val="left" w:pos="2940"/>
        </w:tabs>
        <w:spacing w:line="276" w:lineRule="auto"/>
        <w:jc w:val="both"/>
        <w:rPr>
          <w:rFonts w:asciiTheme="majorBidi" w:hAnsiTheme="majorBidi" w:cs="B Lotus"/>
          <w:sz w:val="24"/>
          <w:szCs w:val="24"/>
        </w:rPr>
      </w:pPr>
      <w:r w:rsidRPr="00CB1EEA">
        <w:rPr>
          <w:rFonts w:asciiTheme="majorBidi" w:hAnsiTheme="majorBidi" w:cs="B Lotus"/>
          <w:sz w:val="24"/>
          <w:szCs w:val="24"/>
        </w:rPr>
        <w:lastRenderedPageBreak/>
        <w:t>Roesch-Dietlen</w:t>
      </w:r>
      <w:r>
        <w:rPr>
          <w:rFonts w:asciiTheme="majorBidi" w:hAnsiTheme="majorBidi" w:cs="B Lotus"/>
          <w:sz w:val="24"/>
          <w:szCs w:val="24"/>
        </w:rPr>
        <w:t xml:space="preserve"> F, </w:t>
      </w:r>
      <w:r w:rsidRPr="00CB1EEA">
        <w:rPr>
          <w:rFonts w:asciiTheme="majorBidi" w:hAnsiTheme="majorBidi" w:cs="B Lotus"/>
          <w:sz w:val="24"/>
          <w:szCs w:val="24"/>
        </w:rPr>
        <w:t>Cano-Contreras</w:t>
      </w:r>
      <w:r>
        <w:rPr>
          <w:rFonts w:asciiTheme="majorBidi" w:hAnsiTheme="majorBidi" w:cs="B Lotus"/>
          <w:sz w:val="24"/>
          <w:szCs w:val="24"/>
        </w:rPr>
        <w:t xml:space="preserve"> A</w:t>
      </w:r>
      <w:r w:rsidR="00A34AAA">
        <w:rPr>
          <w:rFonts w:asciiTheme="majorBidi" w:hAnsiTheme="majorBidi" w:cs="B Lotus"/>
          <w:sz w:val="24"/>
          <w:szCs w:val="24"/>
        </w:rPr>
        <w:t xml:space="preserve"> </w:t>
      </w:r>
      <w:r>
        <w:rPr>
          <w:rFonts w:asciiTheme="majorBidi" w:hAnsiTheme="majorBidi" w:cs="B Lotus"/>
          <w:sz w:val="24"/>
          <w:szCs w:val="24"/>
        </w:rPr>
        <w:t xml:space="preserve">D, </w:t>
      </w:r>
      <w:r w:rsidRPr="00CB1EEA">
        <w:rPr>
          <w:rFonts w:asciiTheme="majorBidi" w:hAnsiTheme="majorBidi" w:cs="B Lotus"/>
          <w:sz w:val="24"/>
          <w:szCs w:val="24"/>
        </w:rPr>
        <w:t>Sánchez-Maza</w:t>
      </w:r>
      <w:r>
        <w:rPr>
          <w:rFonts w:asciiTheme="majorBidi" w:hAnsiTheme="majorBidi" w:cs="B Lotus"/>
          <w:sz w:val="24"/>
          <w:szCs w:val="24"/>
        </w:rPr>
        <w:t xml:space="preserve"> Y</w:t>
      </w:r>
      <w:r w:rsidR="00A34AAA">
        <w:rPr>
          <w:rFonts w:asciiTheme="majorBidi" w:hAnsiTheme="majorBidi" w:cs="B Lotus"/>
          <w:sz w:val="24"/>
          <w:szCs w:val="24"/>
        </w:rPr>
        <w:t xml:space="preserve"> </w:t>
      </w:r>
      <w:r>
        <w:rPr>
          <w:rFonts w:asciiTheme="majorBidi" w:hAnsiTheme="majorBidi" w:cs="B Lotus"/>
          <w:sz w:val="24"/>
          <w:szCs w:val="24"/>
        </w:rPr>
        <w:t xml:space="preserve">J, </w:t>
      </w:r>
      <w:r w:rsidRPr="00CB1EEA">
        <w:rPr>
          <w:rFonts w:asciiTheme="majorBidi" w:hAnsiTheme="majorBidi" w:cs="B Lotus"/>
          <w:sz w:val="24"/>
          <w:szCs w:val="24"/>
        </w:rPr>
        <w:t>Espinosa-González</w:t>
      </w:r>
      <w:r>
        <w:rPr>
          <w:rFonts w:asciiTheme="majorBidi" w:hAnsiTheme="majorBidi" w:cs="B Lotus"/>
          <w:sz w:val="24"/>
          <w:szCs w:val="24"/>
        </w:rPr>
        <w:t xml:space="preserve"> J</w:t>
      </w:r>
      <w:r w:rsidR="00A34AAA">
        <w:rPr>
          <w:rFonts w:asciiTheme="majorBidi" w:hAnsiTheme="majorBidi" w:cs="B Lotus"/>
          <w:sz w:val="24"/>
          <w:szCs w:val="24"/>
        </w:rPr>
        <w:t xml:space="preserve"> </w:t>
      </w:r>
      <w:r>
        <w:rPr>
          <w:rFonts w:asciiTheme="majorBidi" w:hAnsiTheme="majorBidi" w:cs="B Lotus"/>
          <w:sz w:val="24"/>
          <w:szCs w:val="24"/>
        </w:rPr>
        <w:t xml:space="preserve">M, </w:t>
      </w:r>
      <w:r w:rsidRPr="00CB1EEA">
        <w:rPr>
          <w:rFonts w:asciiTheme="majorBidi" w:hAnsiTheme="majorBidi" w:cs="B Lotus"/>
          <w:sz w:val="24"/>
          <w:szCs w:val="24"/>
        </w:rPr>
        <w:t>Vázquez-PrietoM</w:t>
      </w:r>
      <w:r w:rsidR="00A34AAA">
        <w:rPr>
          <w:rFonts w:asciiTheme="majorBidi" w:hAnsiTheme="majorBidi" w:cs="B Lotus"/>
          <w:sz w:val="24"/>
          <w:szCs w:val="24"/>
        </w:rPr>
        <w:t xml:space="preserve"> </w:t>
      </w:r>
      <w:r w:rsidRPr="00CB1EEA">
        <w:rPr>
          <w:rFonts w:asciiTheme="majorBidi" w:hAnsiTheme="majorBidi" w:cs="B Lotus"/>
          <w:sz w:val="24"/>
          <w:szCs w:val="24"/>
        </w:rPr>
        <w:t>Á</w:t>
      </w:r>
      <w:r>
        <w:rPr>
          <w:rFonts w:asciiTheme="majorBidi" w:hAnsiTheme="majorBidi" w:cs="B Lotus"/>
          <w:sz w:val="24"/>
          <w:szCs w:val="24"/>
        </w:rPr>
        <w:t xml:space="preserve">, </w:t>
      </w:r>
      <w:r w:rsidRPr="00CB1EEA">
        <w:rPr>
          <w:rFonts w:asciiTheme="majorBidi" w:hAnsiTheme="majorBidi" w:cs="B Lotus"/>
          <w:sz w:val="24"/>
          <w:szCs w:val="24"/>
        </w:rPr>
        <w:t>Valdés-de la O</w:t>
      </w:r>
      <w:r>
        <w:rPr>
          <w:rFonts w:asciiTheme="majorBidi" w:hAnsiTheme="majorBidi" w:cs="B Lotus"/>
          <w:sz w:val="24"/>
          <w:szCs w:val="24"/>
        </w:rPr>
        <w:t xml:space="preserve"> EJ, et al. </w:t>
      </w:r>
      <w:r w:rsidRPr="00CB1EEA">
        <w:rPr>
          <w:rFonts w:asciiTheme="majorBidi" w:hAnsiTheme="majorBidi" w:cs="B Lotus"/>
          <w:sz w:val="24"/>
          <w:szCs w:val="24"/>
        </w:rPr>
        <w:t>Frequency of human papillomavirus infection in</w:t>
      </w:r>
      <w:r w:rsidR="00A34AAA">
        <w:rPr>
          <w:rFonts w:asciiTheme="majorBidi" w:hAnsiTheme="majorBidi" w:cs="B Lotus"/>
          <w:sz w:val="24"/>
          <w:szCs w:val="24"/>
        </w:rPr>
        <w:t xml:space="preserve"> </w:t>
      </w:r>
      <w:r w:rsidRPr="00CB1EEA">
        <w:rPr>
          <w:rFonts w:asciiTheme="majorBidi" w:hAnsiTheme="majorBidi" w:cs="B Lotus"/>
          <w:sz w:val="24"/>
          <w:szCs w:val="24"/>
        </w:rPr>
        <w:t>patients with gastrointestinal cancer</w:t>
      </w:r>
      <w:r>
        <w:rPr>
          <w:rFonts w:asciiTheme="majorBidi" w:hAnsiTheme="majorBidi" w:cs="B Lotus"/>
          <w:sz w:val="24"/>
          <w:szCs w:val="24"/>
        </w:rPr>
        <w:t>.</w:t>
      </w:r>
      <w:r w:rsidR="00A34AAA">
        <w:rPr>
          <w:rFonts w:asciiTheme="majorBidi" w:hAnsiTheme="majorBidi" w:cs="B Lotus"/>
          <w:sz w:val="24"/>
          <w:szCs w:val="24"/>
        </w:rPr>
        <w:t xml:space="preserve"> </w:t>
      </w:r>
      <w:r w:rsidRPr="00CB1EEA">
        <w:rPr>
          <w:rFonts w:asciiTheme="majorBidi" w:hAnsiTheme="majorBidi" w:cs="B Lotus"/>
          <w:sz w:val="24"/>
          <w:szCs w:val="24"/>
        </w:rPr>
        <w:t>Revista de Gastroenterología de México</w:t>
      </w:r>
      <w:r w:rsidR="00A34AAA">
        <w:rPr>
          <w:rFonts w:asciiTheme="majorBidi" w:hAnsiTheme="majorBidi" w:cs="B Lotus"/>
          <w:sz w:val="24"/>
          <w:szCs w:val="24"/>
        </w:rPr>
        <w:t xml:space="preserve"> </w:t>
      </w:r>
      <w:r w:rsidRPr="00CB1EEA">
        <w:rPr>
          <w:rFonts w:asciiTheme="majorBidi" w:hAnsiTheme="majorBidi" w:cs="B Lotus"/>
          <w:sz w:val="24"/>
          <w:szCs w:val="24"/>
        </w:rPr>
        <w:t>2018;</w:t>
      </w:r>
      <w:r w:rsidR="00A34AAA">
        <w:rPr>
          <w:rFonts w:asciiTheme="majorBidi" w:hAnsiTheme="majorBidi" w:cs="B Lotus"/>
          <w:sz w:val="24"/>
          <w:szCs w:val="24"/>
        </w:rPr>
        <w:t xml:space="preserve"> </w:t>
      </w:r>
      <w:r w:rsidRPr="00CB1EEA">
        <w:rPr>
          <w:rFonts w:asciiTheme="majorBidi" w:hAnsiTheme="majorBidi" w:cs="B Lotus"/>
          <w:sz w:val="24"/>
          <w:szCs w:val="24"/>
        </w:rPr>
        <w:t>83(3):253</w:t>
      </w:r>
      <w:r w:rsidR="00A34AAA">
        <w:rPr>
          <w:rFonts w:asciiTheme="majorBidi" w:hAnsiTheme="majorBidi" w:cs="B Lotus"/>
          <w:sz w:val="24"/>
          <w:szCs w:val="24"/>
        </w:rPr>
        <w:t>-</w:t>
      </w:r>
      <w:r w:rsidRPr="00CB1EEA">
        <w:rPr>
          <w:rFonts w:asciiTheme="majorBidi" w:hAnsiTheme="majorBidi" w:cs="B Lotus"/>
          <w:sz w:val="24"/>
          <w:szCs w:val="24"/>
        </w:rPr>
        <w:t>258</w:t>
      </w:r>
      <w:r>
        <w:rPr>
          <w:rFonts w:asciiTheme="majorBidi" w:hAnsiTheme="majorBidi" w:cs="B Lotus"/>
          <w:sz w:val="24"/>
          <w:szCs w:val="24"/>
        </w:rPr>
        <w:t xml:space="preserve">. </w:t>
      </w:r>
    </w:p>
    <w:p w:rsidR="00CB1EEA" w:rsidRDefault="00CB1EEA" w:rsidP="00A36C18">
      <w:pPr>
        <w:pStyle w:val="ListParagraph"/>
        <w:numPr>
          <w:ilvl w:val="0"/>
          <w:numId w:val="2"/>
        </w:numPr>
        <w:tabs>
          <w:tab w:val="left" w:pos="2940"/>
        </w:tabs>
        <w:spacing w:line="276" w:lineRule="auto"/>
        <w:jc w:val="both"/>
        <w:rPr>
          <w:rFonts w:asciiTheme="majorBidi" w:hAnsiTheme="majorBidi" w:cs="B Lotus"/>
          <w:sz w:val="24"/>
          <w:szCs w:val="24"/>
        </w:rPr>
      </w:pPr>
      <w:r w:rsidRPr="00CB1EEA">
        <w:rPr>
          <w:rFonts w:asciiTheme="majorBidi" w:hAnsiTheme="majorBidi" w:cs="B Lotus"/>
          <w:sz w:val="24"/>
          <w:szCs w:val="24"/>
        </w:rPr>
        <w:t>Abdi E, Latifi-Navid S, Zahri S, Yazdanbod A, Safaralizadeh R. Helicobacter pylori genotypes determine risk of non-cardia gastric cancer and intestinal- or diffuse-type GC in Ardabil: A very high-risk area in Northwestern Iran. Microb</w:t>
      </w:r>
      <w:r w:rsidR="00A36C18">
        <w:rPr>
          <w:rFonts w:asciiTheme="majorBidi" w:hAnsiTheme="majorBidi" w:cs="B Lotus"/>
          <w:sz w:val="24"/>
          <w:szCs w:val="24"/>
        </w:rPr>
        <w:t xml:space="preserve"> </w:t>
      </w:r>
      <w:r w:rsidRPr="00CB1EEA">
        <w:rPr>
          <w:rFonts w:asciiTheme="majorBidi" w:hAnsiTheme="majorBidi" w:cs="B Lotus"/>
          <w:sz w:val="24"/>
          <w:szCs w:val="24"/>
        </w:rPr>
        <w:t>Pathog</w:t>
      </w:r>
      <w:r w:rsidR="00A36C18">
        <w:rPr>
          <w:rFonts w:asciiTheme="majorBidi" w:hAnsiTheme="majorBidi" w:cs="B Lotus"/>
          <w:sz w:val="24"/>
          <w:szCs w:val="24"/>
        </w:rPr>
        <w:t xml:space="preserve"> </w:t>
      </w:r>
      <w:r w:rsidRPr="00CB1EEA">
        <w:rPr>
          <w:rFonts w:asciiTheme="majorBidi" w:hAnsiTheme="majorBidi" w:cs="B Lotus"/>
          <w:sz w:val="24"/>
          <w:szCs w:val="24"/>
        </w:rPr>
        <w:t xml:space="preserve"> 2017</w:t>
      </w:r>
      <w:r w:rsidR="00A36C18">
        <w:rPr>
          <w:rFonts w:asciiTheme="majorBidi" w:hAnsiTheme="majorBidi" w:cs="B Lotus"/>
          <w:sz w:val="24"/>
          <w:szCs w:val="24"/>
        </w:rPr>
        <w:t xml:space="preserve">;107:287-292. </w:t>
      </w:r>
    </w:p>
    <w:p w:rsidR="00485767" w:rsidRDefault="00485767" w:rsidP="002655FE">
      <w:pPr>
        <w:pStyle w:val="ListParagraph"/>
        <w:numPr>
          <w:ilvl w:val="0"/>
          <w:numId w:val="2"/>
        </w:numPr>
        <w:tabs>
          <w:tab w:val="left" w:pos="2940"/>
        </w:tabs>
        <w:spacing w:line="276" w:lineRule="auto"/>
        <w:jc w:val="both"/>
        <w:rPr>
          <w:rFonts w:asciiTheme="majorBidi" w:hAnsiTheme="majorBidi" w:cs="B Lotus"/>
          <w:sz w:val="24"/>
          <w:szCs w:val="24"/>
        </w:rPr>
      </w:pPr>
      <w:r w:rsidRPr="00485767">
        <w:rPr>
          <w:rFonts w:asciiTheme="majorBidi" w:hAnsiTheme="majorBidi" w:cs="B Lotus"/>
          <w:sz w:val="24"/>
          <w:szCs w:val="24"/>
        </w:rPr>
        <w:t>Amani F, Sadrkabir M, Sadeghieh</w:t>
      </w:r>
      <w:r w:rsidR="00A36C18">
        <w:rPr>
          <w:rFonts w:asciiTheme="majorBidi" w:hAnsiTheme="majorBidi" w:cs="B Lotus"/>
          <w:sz w:val="24"/>
          <w:szCs w:val="24"/>
        </w:rPr>
        <w:t xml:space="preserve"> </w:t>
      </w:r>
      <w:r w:rsidRPr="00485767">
        <w:rPr>
          <w:rFonts w:asciiTheme="majorBidi" w:hAnsiTheme="majorBidi" w:cs="B Lotus"/>
          <w:sz w:val="24"/>
          <w:szCs w:val="24"/>
        </w:rPr>
        <w:t>Ahari S, Barzghari S, Yazdanbod A,</w:t>
      </w:r>
      <w:r w:rsidR="002655FE">
        <w:rPr>
          <w:rFonts w:asciiTheme="majorBidi" w:hAnsiTheme="majorBidi" w:cs="B Lotus"/>
          <w:sz w:val="24"/>
          <w:szCs w:val="24"/>
        </w:rPr>
        <w:t xml:space="preserve"> et al.</w:t>
      </w:r>
      <w:r w:rsidRPr="00485767">
        <w:rPr>
          <w:rFonts w:asciiTheme="majorBidi" w:hAnsiTheme="majorBidi" w:cs="B Lotus"/>
          <w:sz w:val="24"/>
          <w:szCs w:val="24"/>
        </w:rPr>
        <w:t xml:space="preserve"> Epidemiology of Gastric Cancer in Northwest Iran</w:t>
      </w:r>
      <w:r w:rsidR="002655FE">
        <w:rPr>
          <w:rFonts w:asciiTheme="majorBidi" w:hAnsiTheme="majorBidi" w:cs="B Lotus"/>
          <w:sz w:val="24"/>
          <w:szCs w:val="24"/>
        </w:rPr>
        <w:t>: 2003-2011. Middle East J</w:t>
      </w:r>
      <w:r w:rsidRPr="00485767">
        <w:rPr>
          <w:rFonts w:asciiTheme="majorBidi" w:hAnsiTheme="majorBidi" w:cs="B Lotus"/>
          <w:sz w:val="24"/>
          <w:szCs w:val="24"/>
        </w:rPr>
        <w:t xml:space="preserve"> Cancer</w:t>
      </w:r>
      <w:r w:rsidR="002655FE">
        <w:rPr>
          <w:rFonts w:asciiTheme="majorBidi" w:hAnsiTheme="majorBidi" w:cs="B Lotus"/>
          <w:sz w:val="24"/>
          <w:szCs w:val="24"/>
        </w:rPr>
        <w:t xml:space="preserve"> </w:t>
      </w:r>
      <w:r w:rsidRPr="00485767">
        <w:rPr>
          <w:rFonts w:asciiTheme="majorBidi" w:hAnsiTheme="majorBidi" w:cs="B Lotus"/>
          <w:sz w:val="24"/>
          <w:szCs w:val="24"/>
        </w:rPr>
        <w:t>2015; 6(3): 189-193.</w:t>
      </w:r>
    </w:p>
    <w:p w:rsidR="00485767" w:rsidRPr="00485767" w:rsidRDefault="00485767" w:rsidP="002655FE">
      <w:pPr>
        <w:pStyle w:val="ListParagraph"/>
        <w:numPr>
          <w:ilvl w:val="0"/>
          <w:numId w:val="2"/>
        </w:numPr>
        <w:tabs>
          <w:tab w:val="left" w:pos="2940"/>
        </w:tabs>
        <w:spacing w:line="276" w:lineRule="auto"/>
        <w:jc w:val="both"/>
        <w:rPr>
          <w:rFonts w:asciiTheme="majorBidi" w:hAnsiTheme="majorBidi" w:cs="B Lotus"/>
          <w:sz w:val="24"/>
          <w:szCs w:val="24"/>
        </w:rPr>
      </w:pPr>
      <w:r w:rsidRPr="00485767">
        <w:rPr>
          <w:rFonts w:asciiTheme="majorBidi" w:hAnsiTheme="majorBidi" w:cs="B Lotus"/>
          <w:sz w:val="24"/>
          <w:szCs w:val="24"/>
        </w:rPr>
        <w:t>Xu Q, Dong H, Wang Z, Zhang P, Albers AE, et al. Integration and viral oncogene expression of human papillomavirus type 16 in oropharyngeal squamous cell carcinoma and gastric cancer.</w:t>
      </w:r>
      <w:r w:rsidR="002655FE">
        <w:rPr>
          <w:rFonts w:asciiTheme="majorBidi" w:hAnsiTheme="majorBidi" w:cs="B Lotus"/>
          <w:sz w:val="24"/>
          <w:szCs w:val="24"/>
        </w:rPr>
        <w:t xml:space="preserve"> </w:t>
      </w:r>
      <w:r w:rsidRPr="00485767">
        <w:rPr>
          <w:rFonts w:asciiTheme="majorBidi" w:hAnsiTheme="majorBidi" w:cs="B Lotus"/>
          <w:sz w:val="24"/>
          <w:szCs w:val="24"/>
        </w:rPr>
        <w:t>J Med Virol</w:t>
      </w:r>
      <w:r w:rsidR="002655FE">
        <w:rPr>
          <w:rFonts w:asciiTheme="majorBidi" w:hAnsiTheme="majorBidi" w:cs="B Lotus"/>
          <w:sz w:val="24"/>
          <w:szCs w:val="24"/>
        </w:rPr>
        <w:t xml:space="preserve"> </w:t>
      </w:r>
      <w:r w:rsidRPr="00485767">
        <w:rPr>
          <w:rFonts w:asciiTheme="majorBidi" w:hAnsiTheme="majorBidi" w:cs="B Lotus"/>
          <w:sz w:val="24"/>
          <w:szCs w:val="24"/>
        </w:rPr>
        <w:t>2023</w:t>
      </w:r>
      <w:r w:rsidR="00255079" w:rsidRPr="00485767">
        <w:rPr>
          <w:rFonts w:asciiTheme="majorBidi" w:hAnsiTheme="majorBidi" w:cs="B Lotus"/>
          <w:sz w:val="24"/>
          <w:szCs w:val="24"/>
        </w:rPr>
        <w:t>; 95:28761</w:t>
      </w:r>
      <w:r w:rsidRPr="00485767">
        <w:rPr>
          <w:rFonts w:asciiTheme="majorBidi" w:hAnsiTheme="majorBidi" w:cs="B Lotus"/>
          <w:sz w:val="24"/>
          <w:szCs w:val="24"/>
        </w:rPr>
        <w:t>.</w:t>
      </w:r>
    </w:p>
    <w:p w:rsidR="00485767" w:rsidRPr="00485767" w:rsidRDefault="00485767" w:rsidP="002655FE">
      <w:pPr>
        <w:pStyle w:val="ListParagraph"/>
        <w:numPr>
          <w:ilvl w:val="0"/>
          <w:numId w:val="2"/>
        </w:numPr>
        <w:tabs>
          <w:tab w:val="left" w:pos="2940"/>
        </w:tabs>
        <w:spacing w:line="276" w:lineRule="auto"/>
        <w:jc w:val="both"/>
        <w:rPr>
          <w:rFonts w:asciiTheme="majorBidi" w:hAnsiTheme="majorBidi" w:cs="B Lotus"/>
          <w:sz w:val="24"/>
          <w:szCs w:val="24"/>
        </w:rPr>
      </w:pPr>
      <w:r w:rsidRPr="00485767">
        <w:rPr>
          <w:rFonts w:asciiTheme="majorBidi" w:hAnsiTheme="majorBidi" w:cs="B Lotus"/>
          <w:sz w:val="24"/>
          <w:szCs w:val="24"/>
        </w:rPr>
        <w:t>Sadeghian Z, BannazadehBaghi H, Poortahmasebi V, Sadeghi J, Hasani A, et al . Prevalence of Human Papillomavirus Infection in Gastric Cancer in Ardebil Province, Northwest of Iran. Iran J Virol 2022; 16 (1</w:t>
      </w:r>
      <w:r w:rsidR="00255079" w:rsidRPr="00485767">
        <w:rPr>
          <w:rFonts w:asciiTheme="majorBidi" w:hAnsiTheme="majorBidi" w:cs="B Lotus"/>
          <w:sz w:val="24"/>
          <w:szCs w:val="24"/>
        </w:rPr>
        <w:t>):</w:t>
      </w:r>
      <w:r w:rsidRPr="00485767">
        <w:rPr>
          <w:rFonts w:asciiTheme="majorBidi" w:hAnsiTheme="majorBidi" w:cs="B Lotus"/>
          <w:sz w:val="24"/>
          <w:szCs w:val="24"/>
        </w:rPr>
        <w:t>28-35.</w:t>
      </w:r>
    </w:p>
    <w:p w:rsidR="00485767" w:rsidRPr="00485767" w:rsidRDefault="00485767" w:rsidP="002655FE">
      <w:pPr>
        <w:pStyle w:val="ListParagraph"/>
        <w:numPr>
          <w:ilvl w:val="0"/>
          <w:numId w:val="2"/>
        </w:numPr>
        <w:tabs>
          <w:tab w:val="left" w:pos="2940"/>
        </w:tabs>
        <w:spacing w:line="276" w:lineRule="auto"/>
        <w:jc w:val="both"/>
        <w:rPr>
          <w:rFonts w:asciiTheme="majorBidi" w:hAnsiTheme="majorBidi" w:cs="B Lotus"/>
          <w:sz w:val="24"/>
          <w:szCs w:val="24"/>
        </w:rPr>
      </w:pPr>
      <w:r w:rsidRPr="00485767">
        <w:rPr>
          <w:rFonts w:asciiTheme="majorBidi" w:hAnsiTheme="majorBidi" w:cs="B Lotus"/>
          <w:sz w:val="24"/>
          <w:szCs w:val="24"/>
        </w:rPr>
        <w:t xml:space="preserve">Emadian O, Naghshvar F, Rafiei A, Maleki E, Torabizadeh J, </w:t>
      </w:r>
      <w:r w:rsidR="002655FE">
        <w:rPr>
          <w:rFonts w:asciiTheme="majorBidi" w:hAnsiTheme="majorBidi" w:cs="B Lotus"/>
          <w:sz w:val="24"/>
          <w:szCs w:val="24"/>
        </w:rPr>
        <w:t>et al</w:t>
      </w:r>
      <w:r w:rsidRPr="00485767">
        <w:rPr>
          <w:rFonts w:asciiTheme="majorBidi" w:hAnsiTheme="majorBidi" w:cs="B Lotus"/>
          <w:sz w:val="24"/>
          <w:szCs w:val="24"/>
        </w:rPr>
        <w:t>. Correlation of Human Papillomavirus Infection with Esophageal Squamous Cell Carcinoma. J Babol</w:t>
      </w:r>
      <w:r w:rsidR="002655FE">
        <w:rPr>
          <w:rFonts w:asciiTheme="majorBidi" w:hAnsiTheme="majorBidi" w:cs="B Lotus"/>
          <w:sz w:val="24"/>
          <w:szCs w:val="24"/>
        </w:rPr>
        <w:t xml:space="preserve"> </w:t>
      </w:r>
      <w:r w:rsidRPr="00485767">
        <w:rPr>
          <w:rFonts w:asciiTheme="majorBidi" w:hAnsiTheme="majorBidi" w:cs="B Lotus"/>
          <w:sz w:val="24"/>
          <w:szCs w:val="24"/>
        </w:rPr>
        <w:t>Univ Med Sci 2011; 13 (4</w:t>
      </w:r>
      <w:r w:rsidR="002655FE" w:rsidRPr="00485767">
        <w:rPr>
          <w:rFonts w:asciiTheme="majorBidi" w:hAnsiTheme="majorBidi" w:cs="B Lotus"/>
          <w:sz w:val="24"/>
          <w:szCs w:val="24"/>
        </w:rPr>
        <w:t>):</w:t>
      </w:r>
      <w:r w:rsidRPr="00485767">
        <w:rPr>
          <w:rFonts w:asciiTheme="majorBidi" w:hAnsiTheme="majorBidi" w:cs="B Lotus"/>
          <w:sz w:val="24"/>
          <w:szCs w:val="24"/>
        </w:rPr>
        <w:t>54-59</w:t>
      </w:r>
      <w:r>
        <w:rPr>
          <w:rFonts w:asciiTheme="majorBidi" w:hAnsiTheme="majorBidi" w:cs="B Lotus"/>
          <w:sz w:val="24"/>
          <w:szCs w:val="24"/>
        </w:rPr>
        <w:t xml:space="preserve">. </w:t>
      </w:r>
    </w:p>
    <w:p w:rsidR="00485767" w:rsidRDefault="007B6268" w:rsidP="007B6268">
      <w:pPr>
        <w:pStyle w:val="ListParagraph"/>
        <w:numPr>
          <w:ilvl w:val="0"/>
          <w:numId w:val="2"/>
        </w:numPr>
        <w:tabs>
          <w:tab w:val="left" w:pos="2940"/>
        </w:tabs>
        <w:spacing w:line="276" w:lineRule="auto"/>
        <w:jc w:val="both"/>
        <w:rPr>
          <w:rFonts w:asciiTheme="majorBidi" w:hAnsiTheme="majorBidi" w:cs="B Lotus"/>
          <w:sz w:val="24"/>
          <w:szCs w:val="24"/>
        </w:rPr>
      </w:pPr>
      <w:r>
        <w:rPr>
          <w:rFonts w:asciiTheme="majorBidi" w:hAnsiTheme="majorBidi" w:cs="B Lotus"/>
          <w:sz w:val="24"/>
          <w:szCs w:val="24"/>
        </w:rPr>
        <w:t>Aghghaleh</w:t>
      </w:r>
      <w:r w:rsidR="00C32FD1" w:rsidRPr="00C32FD1">
        <w:rPr>
          <w:rFonts w:asciiTheme="majorBidi" w:hAnsiTheme="majorBidi" w:cs="B Lotus"/>
          <w:sz w:val="24"/>
          <w:szCs w:val="24"/>
        </w:rPr>
        <w:t xml:space="preserve"> H</w:t>
      </w:r>
      <w:r>
        <w:rPr>
          <w:rFonts w:asciiTheme="majorBidi" w:hAnsiTheme="majorBidi" w:cs="B Lotus"/>
          <w:sz w:val="24"/>
          <w:szCs w:val="24"/>
        </w:rPr>
        <w:t xml:space="preserve"> </w:t>
      </w:r>
      <w:r w:rsidR="00C32FD1" w:rsidRPr="00C32FD1">
        <w:rPr>
          <w:rFonts w:asciiTheme="majorBidi" w:hAnsiTheme="majorBidi" w:cs="B Lotus"/>
          <w:sz w:val="24"/>
          <w:szCs w:val="24"/>
        </w:rPr>
        <w:t>A, Ranji N</w:t>
      </w:r>
      <w:r>
        <w:rPr>
          <w:rFonts w:asciiTheme="majorBidi" w:hAnsiTheme="majorBidi" w:cs="B Lotus"/>
          <w:sz w:val="24"/>
          <w:szCs w:val="24"/>
        </w:rPr>
        <w:t>,</w:t>
      </w:r>
      <w:r w:rsidR="00C32FD1" w:rsidRPr="00C32FD1">
        <w:rPr>
          <w:rFonts w:asciiTheme="majorBidi" w:hAnsiTheme="majorBidi" w:cs="B Lotus"/>
          <w:sz w:val="24"/>
          <w:szCs w:val="24"/>
        </w:rPr>
        <w:t xml:space="preserve"> Habibollahi H. Genomic susceptibility to gastric cancer in Northwest Iran: population-based and case–control studies. Egypt J Med Hum Genet</w:t>
      </w:r>
      <w:r>
        <w:rPr>
          <w:rFonts w:asciiTheme="majorBidi" w:hAnsiTheme="majorBidi" w:cs="B Lotus"/>
          <w:sz w:val="24"/>
          <w:szCs w:val="24"/>
        </w:rPr>
        <w:t xml:space="preserve"> 2024; 25-41</w:t>
      </w:r>
      <w:r w:rsidR="00C32FD1" w:rsidRPr="00C32FD1">
        <w:rPr>
          <w:rFonts w:asciiTheme="majorBidi" w:hAnsiTheme="majorBidi" w:cs="B Lotus"/>
          <w:sz w:val="24"/>
          <w:szCs w:val="24"/>
        </w:rPr>
        <w:t>.</w:t>
      </w:r>
      <w:r w:rsidR="00C32FD1">
        <w:rPr>
          <w:rFonts w:asciiTheme="majorBidi" w:hAnsiTheme="majorBidi" w:cs="B Lotus"/>
          <w:sz w:val="24"/>
          <w:szCs w:val="24"/>
        </w:rPr>
        <w:t xml:space="preserve"> </w:t>
      </w:r>
    </w:p>
    <w:p w:rsidR="00C32FD1" w:rsidRDefault="00C32FD1" w:rsidP="00867084">
      <w:pPr>
        <w:pStyle w:val="ListParagraph"/>
        <w:numPr>
          <w:ilvl w:val="0"/>
          <w:numId w:val="2"/>
        </w:numPr>
        <w:tabs>
          <w:tab w:val="left" w:pos="2940"/>
        </w:tabs>
        <w:spacing w:line="276" w:lineRule="auto"/>
        <w:jc w:val="both"/>
        <w:rPr>
          <w:rFonts w:asciiTheme="majorBidi" w:hAnsiTheme="majorBidi" w:cs="B Lotus"/>
          <w:sz w:val="24"/>
          <w:szCs w:val="24"/>
        </w:rPr>
      </w:pPr>
      <w:r w:rsidRPr="00C32FD1">
        <w:rPr>
          <w:rFonts w:asciiTheme="majorBidi" w:hAnsiTheme="majorBidi" w:cs="B Lotus"/>
          <w:sz w:val="24"/>
          <w:szCs w:val="24"/>
        </w:rPr>
        <w:t>Rostami C, Asadollahi K, Sayehmiri K, Cheraghi M. Incidence rate of gastric cancer and its relationship with geographical factors using GIS in Khuzestan Province between 2009 and 2013. SJKU 2017; 22 (2</w:t>
      </w:r>
      <w:r w:rsidR="00086B7D" w:rsidRPr="00C32FD1">
        <w:rPr>
          <w:rFonts w:asciiTheme="majorBidi" w:hAnsiTheme="majorBidi" w:cs="B Lotus"/>
          <w:sz w:val="24"/>
          <w:szCs w:val="24"/>
        </w:rPr>
        <w:t>):</w:t>
      </w:r>
      <w:r w:rsidRPr="00C32FD1">
        <w:rPr>
          <w:rFonts w:asciiTheme="majorBidi" w:hAnsiTheme="majorBidi" w:cs="B Lotus"/>
          <w:sz w:val="24"/>
          <w:szCs w:val="24"/>
        </w:rPr>
        <w:t>129-139</w:t>
      </w:r>
      <w:r>
        <w:rPr>
          <w:rFonts w:asciiTheme="majorBidi" w:hAnsiTheme="majorBidi" w:cs="B Lotus"/>
          <w:sz w:val="24"/>
          <w:szCs w:val="24"/>
        </w:rPr>
        <w:t xml:space="preserve">. </w:t>
      </w:r>
    </w:p>
    <w:p w:rsidR="0001658F" w:rsidRDefault="00C32FD1" w:rsidP="006B408B">
      <w:pPr>
        <w:pStyle w:val="ListParagraph"/>
        <w:numPr>
          <w:ilvl w:val="0"/>
          <w:numId w:val="2"/>
        </w:numPr>
        <w:tabs>
          <w:tab w:val="left" w:pos="2940"/>
        </w:tabs>
        <w:spacing w:line="276" w:lineRule="auto"/>
        <w:jc w:val="both"/>
        <w:rPr>
          <w:rFonts w:asciiTheme="majorBidi" w:hAnsiTheme="majorBidi" w:cs="B Lotus"/>
          <w:sz w:val="24"/>
          <w:szCs w:val="24"/>
        </w:rPr>
      </w:pPr>
      <w:r w:rsidRPr="00FB52E9">
        <w:rPr>
          <w:rFonts w:asciiTheme="majorBidi" w:hAnsiTheme="majorBidi" w:cs="B Lotus"/>
          <w:sz w:val="24"/>
          <w:szCs w:val="24"/>
        </w:rPr>
        <w:t>Omrani-Nava V, Alizadeh-Navaei R, Yahyapour Y, et al. Human papillomavirus and gastrointestinal cancer in Iranian population: A</w:t>
      </w:r>
      <w:r w:rsidR="006B408B">
        <w:rPr>
          <w:rFonts w:asciiTheme="majorBidi" w:hAnsiTheme="majorBidi" w:cs="B Lotus"/>
          <w:sz w:val="24"/>
          <w:szCs w:val="24"/>
        </w:rPr>
        <w:t xml:space="preserve"> </w:t>
      </w:r>
      <w:r w:rsidR="006E73EB">
        <w:rPr>
          <w:rFonts w:asciiTheme="majorBidi" w:hAnsiTheme="majorBidi" w:cs="B Lotus"/>
          <w:sz w:val="24"/>
          <w:szCs w:val="24"/>
        </w:rPr>
        <w:t>systemic review and meta-</w:t>
      </w:r>
      <w:r w:rsidRPr="00FB52E9">
        <w:rPr>
          <w:rFonts w:asciiTheme="majorBidi" w:hAnsiTheme="majorBidi" w:cs="B Lotus"/>
          <w:sz w:val="24"/>
          <w:szCs w:val="24"/>
        </w:rPr>
        <w:t>analysis.</w:t>
      </w:r>
      <w:r w:rsidR="006B408B">
        <w:rPr>
          <w:rFonts w:asciiTheme="majorBidi" w:hAnsiTheme="majorBidi" w:cs="B Lotus"/>
          <w:sz w:val="24"/>
          <w:szCs w:val="24"/>
        </w:rPr>
        <w:t xml:space="preserve"> </w:t>
      </w:r>
      <w:r w:rsidRPr="00FB52E9">
        <w:rPr>
          <w:rFonts w:asciiTheme="majorBidi" w:hAnsiTheme="majorBidi" w:cs="B Lotus"/>
          <w:sz w:val="24"/>
          <w:szCs w:val="24"/>
        </w:rPr>
        <w:t>Caspian J Internal Med 2017</w:t>
      </w:r>
      <w:r w:rsidR="006B408B">
        <w:rPr>
          <w:rFonts w:asciiTheme="majorBidi" w:hAnsiTheme="majorBidi" w:cs="B Lotus"/>
          <w:sz w:val="24"/>
          <w:szCs w:val="24"/>
        </w:rPr>
        <w:t>;</w:t>
      </w:r>
      <w:r w:rsidR="006B408B" w:rsidRPr="00FB52E9">
        <w:rPr>
          <w:rFonts w:asciiTheme="majorBidi" w:hAnsiTheme="majorBidi" w:cs="B Lotus"/>
          <w:sz w:val="24"/>
          <w:szCs w:val="24"/>
        </w:rPr>
        <w:t xml:space="preserve"> 8</w:t>
      </w:r>
      <w:r w:rsidRPr="00FB52E9">
        <w:rPr>
          <w:rFonts w:asciiTheme="majorBidi" w:hAnsiTheme="majorBidi" w:cs="B Lotus"/>
          <w:sz w:val="24"/>
          <w:szCs w:val="24"/>
        </w:rPr>
        <w:t xml:space="preserve"> (2):67-75. </w:t>
      </w:r>
    </w:p>
    <w:p w:rsidR="00FB52E9" w:rsidRPr="00FB52E9" w:rsidRDefault="00FB52E9" w:rsidP="006B408B">
      <w:pPr>
        <w:pStyle w:val="ListParagraph"/>
        <w:numPr>
          <w:ilvl w:val="0"/>
          <w:numId w:val="2"/>
        </w:numPr>
        <w:spacing w:line="276" w:lineRule="auto"/>
        <w:jc w:val="both"/>
        <w:rPr>
          <w:rFonts w:asciiTheme="majorBidi" w:hAnsiTheme="majorBidi" w:cs="B Lotus"/>
          <w:sz w:val="24"/>
          <w:szCs w:val="24"/>
        </w:rPr>
      </w:pPr>
      <w:r w:rsidRPr="00FB52E9">
        <w:rPr>
          <w:rFonts w:asciiTheme="majorBidi" w:hAnsiTheme="majorBidi" w:cs="B Lotus"/>
          <w:sz w:val="24"/>
          <w:szCs w:val="24"/>
        </w:rPr>
        <w:t>Ding GC,</w:t>
      </w:r>
      <w:r w:rsidR="006B408B">
        <w:rPr>
          <w:rFonts w:asciiTheme="majorBidi" w:hAnsiTheme="majorBidi" w:cs="B Lotus"/>
          <w:sz w:val="24"/>
          <w:szCs w:val="24"/>
        </w:rPr>
        <w:t xml:space="preserve"> </w:t>
      </w:r>
      <w:r w:rsidRPr="00FB52E9">
        <w:rPr>
          <w:rFonts w:asciiTheme="majorBidi" w:hAnsiTheme="majorBidi" w:cs="B Lotus"/>
          <w:sz w:val="24"/>
          <w:szCs w:val="24"/>
        </w:rPr>
        <w:t>Ren JL, Chang FB, Li JL, Yuan L, Song</w:t>
      </w:r>
      <w:r w:rsidR="006B408B">
        <w:rPr>
          <w:rFonts w:asciiTheme="majorBidi" w:hAnsiTheme="majorBidi" w:cs="B Lotus"/>
          <w:sz w:val="24"/>
          <w:szCs w:val="24"/>
        </w:rPr>
        <w:t xml:space="preserve"> </w:t>
      </w:r>
      <w:r w:rsidRPr="00FB52E9">
        <w:rPr>
          <w:rFonts w:asciiTheme="majorBidi" w:hAnsiTheme="majorBidi" w:cs="B Lotus"/>
          <w:sz w:val="24"/>
          <w:szCs w:val="24"/>
        </w:rPr>
        <w:t xml:space="preserve">X, et al. Human papillomavirus DNA and </w:t>
      </w:r>
      <w:r w:rsidR="006B408B" w:rsidRPr="00FB52E9">
        <w:rPr>
          <w:rFonts w:asciiTheme="majorBidi" w:hAnsiTheme="majorBidi" w:cs="B Lotus"/>
          <w:sz w:val="24"/>
          <w:szCs w:val="24"/>
        </w:rPr>
        <w:t>P16 (</w:t>
      </w:r>
      <w:r w:rsidRPr="00FB52E9">
        <w:rPr>
          <w:rFonts w:asciiTheme="majorBidi" w:hAnsiTheme="majorBidi" w:cs="B Lotus"/>
          <w:sz w:val="24"/>
          <w:szCs w:val="24"/>
        </w:rPr>
        <w:t>INK4A) expression in concurrent esophageal and gastric cardia cancers. World J Gastroentrol</w:t>
      </w:r>
      <w:r w:rsidR="006B408B">
        <w:rPr>
          <w:rFonts w:asciiTheme="majorBidi" w:hAnsiTheme="majorBidi" w:cs="B Lotus"/>
          <w:sz w:val="24"/>
          <w:szCs w:val="24"/>
        </w:rPr>
        <w:t xml:space="preserve">  </w:t>
      </w:r>
      <w:r w:rsidRPr="00FB52E9">
        <w:rPr>
          <w:rFonts w:asciiTheme="majorBidi" w:hAnsiTheme="majorBidi" w:cs="B Lotus"/>
          <w:sz w:val="24"/>
          <w:szCs w:val="24"/>
        </w:rPr>
        <w:t>2010; 16: 5901-5906.</w:t>
      </w:r>
    </w:p>
    <w:p w:rsidR="00FB52E9" w:rsidRPr="00FB52E9" w:rsidRDefault="00FB52E9" w:rsidP="009115EF">
      <w:pPr>
        <w:pStyle w:val="ListParagraph"/>
        <w:numPr>
          <w:ilvl w:val="0"/>
          <w:numId w:val="2"/>
        </w:numPr>
        <w:spacing w:line="276" w:lineRule="auto"/>
        <w:jc w:val="both"/>
        <w:rPr>
          <w:rFonts w:asciiTheme="majorBidi" w:hAnsiTheme="majorBidi" w:cs="B Lotus"/>
          <w:sz w:val="24"/>
          <w:szCs w:val="24"/>
        </w:rPr>
      </w:pPr>
      <w:r w:rsidRPr="00FB52E9">
        <w:rPr>
          <w:rFonts w:asciiTheme="majorBidi" w:hAnsiTheme="majorBidi" w:cs="B Lotus"/>
          <w:sz w:val="24"/>
          <w:szCs w:val="24"/>
        </w:rPr>
        <w:t>Snietura M, Waniczek D, Piglowski W, Kopec A, Nowakowska-Zajdel E, et al. Potential role of human papillomavirus in the pathogenesis of gastric c</w:t>
      </w:r>
      <w:r w:rsidR="006B408B">
        <w:rPr>
          <w:rFonts w:asciiTheme="majorBidi" w:hAnsiTheme="majorBidi" w:cs="B Lotus"/>
          <w:sz w:val="24"/>
          <w:szCs w:val="24"/>
        </w:rPr>
        <w:t>ancer. World J Gastroenterol</w:t>
      </w:r>
      <w:r w:rsidRPr="00FB52E9">
        <w:rPr>
          <w:rFonts w:asciiTheme="majorBidi" w:hAnsiTheme="majorBidi" w:cs="B Lotus"/>
          <w:sz w:val="24"/>
          <w:szCs w:val="24"/>
        </w:rPr>
        <w:t xml:space="preserve"> 2014;</w:t>
      </w:r>
      <w:r w:rsidR="006B408B">
        <w:rPr>
          <w:rFonts w:asciiTheme="majorBidi" w:hAnsiTheme="majorBidi" w:cs="B Lotus"/>
          <w:sz w:val="24"/>
          <w:szCs w:val="24"/>
        </w:rPr>
        <w:t xml:space="preserve"> </w:t>
      </w:r>
      <w:r w:rsidRPr="00FB52E9">
        <w:rPr>
          <w:rFonts w:asciiTheme="majorBidi" w:hAnsiTheme="majorBidi" w:cs="B Lotus"/>
          <w:sz w:val="24"/>
          <w:szCs w:val="24"/>
        </w:rPr>
        <w:t>20 (21):</w:t>
      </w:r>
      <w:r w:rsidR="006B408B">
        <w:rPr>
          <w:rFonts w:asciiTheme="majorBidi" w:hAnsiTheme="majorBidi" w:cs="B Lotus"/>
          <w:sz w:val="24"/>
          <w:szCs w:val="24"/>
        </w:rPr>
        <w:t xml:space="preserve"> </w:t>
      </w:r>
      <w:r w:rsidRPr="00FB52E9">
        <w:rPr>
          <w:rFonts w:asciiTheme="majorBidi" w:hAnsiTheme="majorBidi" w:cs="B Lotus"/>
          <w:sz w:val="24"/>
          <w:szCs w:val="24"/>
        </w:rPr>
        <w:t>6632-</w:t>
      </w:r>
      <w:r w:rsidR="006B408B">
        <w:rPr>
          <w:rFonts w:asciiTheme="majorBidi" w:hAnsiTheme="majorBidi" w:cs="B Lotus"/>
          <w:sz w:val="24"/>
          <w:szCs w:val="24"/>
        </w:rPr>
        <w:t>663</w:t>
      </w:r>
      <w:r w:rsidRPr="00FB52E9">
        <w:rPr>
          <w:rFonts w:asciiTheme="majorBidi" w:hAnsiTheme="majorBidi" w:cs="B Lotus"/>
          <w:sz w:val="24"/>
          <w:szCs w:val="24"/>
        </w:rPr>
        <w:t>7.</w:t>
      </w:r>
    </w:p>
    <w:p w:rsidR="00FB52E9" w:rsidRPr="00F75D73" w:rsidRDefault="00FB52E9" w:rsidP="00867084">
      <w:pPr>
        <w:pStyle w:val="ListParagraph"/>
        <w:numPr>
          <w:ilvl w:val="0"/>
          <w:numId w:val="2"/>
        </w:numPr>
        <w:tabs>
          <w:tab w:val="left" w:pos="2940"/>
        </w:tabs>
        <w:spacing w:line="276" w:lineRule="auto"/>
        <w:jc w:val="both"/>
        <w:rPr>
          <w:rFonts w:asciiTheme="majorBidi" w:hAnsiTheme="majorBidi" w:cs="B Lotus"/>
          <w:sz w:val="24"/>
          <w:szCs w:val="24"/>
        </w:rPr>
      </w:pPr>
      <w:r w:rsidRPr="00F75D73">
        <w:rPr>
          <w:rFonts w:asciiTheme="majorBidi" w:hAnsiTheme="majorBidi" w:cs="B Lotus"/>
          <w:sz w:val="24"/>
          <w:szCs w:val="24"/>
        </w:rPr>
        <w:t>Zeng ZM, Lou FF</w:t>
      </w:r>
      <w:r w:rsidR="006B408B" w:rsidRPr="00F75D73">
        <w:rPr>
          <w:rFonts w:asciiTheme="majorBidi" w:hAnsiTheme="majorBidi" w:cs="B Lotus"/>
          <w:sz w:val="24"/>
          <w:szCs w:val="24"/>
        </w:rPr>
        <w:t>,</w:t>
      </w:r>
      <w:r w:rsidRPr="00F75D73">
        <w:rPr>
          <w:rFonts w:asciiTheme="majorBidi" w:hAnsiTheme="majorBidi" w:cs="B Lotus"/>
          <w:sz w:val="24"/>
          <w:szCs w:val="24"/>
        </w:rPr>
        <w:t xml:space="preserve"> Zou LX, He RQ, Pan DH, Chen X, et al. Human papillomavirus as a potential </w:t>
      </w:r>
      <w:r w:rsidR="00F75D73" w:rsidRPr="00F75D73">
        <w:rPr>
          <w:rFonts w:asciiTheme="majorBidi" w:hAnsiTheme="majorBidi" w:cs="B Lotus"/>
          <w:sz w:val="24"/>
          <w:szCs w:val="24"/>
        </w:rPr>
        <w:t>risk</w:t>
      </w:r>
      <w:r w:rsidRPr="00F75D73">
        <w:rPr>
          <w:rFonts w:asciiTheme="majorBidi" w:hAnsiTheme="majorBidi" w:cs="B Lotus"/>
          <w:sz w:val="24"/>
          <w:szCs w:val="24"/>
        </w:rPr>
        <w:t xml:space="preserve"> factor for gastric cancer: a meta</w:t>
      </w:r>
      <w:r w:rsidR="009115EF">
        <w:rPr>
          <w:rFonts w:asciiTheme="majorBidi" w:hAnsiTheme="majorBidi" w:cs="B Lotus"/>
          <w:sz w:val="24"/>
          <w:szCs w:val="24"/>
        </w:rPr>
        <w:t>-</w:t>
      </w:r>
      <w:r w:rsidR="00F75D73" w:rsidRPr="00F75D73">
        <w:rPr>
          <w:rFonts w:asciiTheme="majorBidi" w:hAnsiTheme="majorBidi" w:cs="B Lotus"/>
          <w:sz w:val="24"/>
          <w:szCs w:val="24"/>
        </w:rPr>
        <w:t xml:space="preserve"> </w:t>
      </w:r>
      <w:r w:rsidRPr="00F75D73">
        <w:rPr>
          <w:rFonts w:asciiTheme="majorBidi" w:hAnsiTheme="majorBidi" w:cs="B Lotus"/>
          <w:sz w:val="24"/>
          <w:szCs w:val="24"/>
        </w:rPr>
        <w:t>analysis of 1,917 cases. Onco Targets Ther</w:t>
      </w:r>
      <w:r w:rsidR="00F75D73" w:rsidRPr="00F75D73">
        <w:rPr>
          <w:rFonts w:asciiTheme="majorBidi" w:hAnsiTheme="majorBidi" w:cs="B Lotus"/>
          <w:sz w:val="24"/>
          <w:szCs w:val="24"/>
        </w:rPr>
        <w:t xml:space="preserve"> </w:t>
      </w:r>
      <w:r w:rsidRPr="00F75D73">
        <w:rPr>
          <w:rFonts w:asciiTheme="majorBidi" w:hAnsiTheme="majorBidi" w:cs="B Lotus"/>
          <w:sz w:val="24"/>
          <w:szCs w:val="24"/>
        </w:rPr>
        <w:t>2016; 9: 7105-7114</w:t>
      </w:r>
      <w:r w:rsidR="00F75D73">
        <w:rPr>
          <w:rFonts w:asciiTheme="majorBidi" w:hAnsiTheme="majorBidi" w:cs="B Lotus"/>
          <w:sz w:val="24"/>
          <w:szCs w:val="24"/>
        </w:rPr>
        <w:t>.</w:t>
      </w:r>
    </w:p>
    <w:p w:rsidR="0001658F" w:rsidRDefault="00FB52E9" w:rsidP="00F75D73">
      <w:pPr>
        <w:pStyle w:val="ListParagraph"/>
        <w:numPr>
          <w:ilvl w:val="0"/>
          <w:numId w:val="2"/>
        </w:numPr>
        <w:tabs>
          <w:tab w:val="left" w:pos="2940"/>
        </w:tabs>
        <w:spacing w:line="276" w:lineRule="auto"/>
        <w:jc w:val="both"/>
        <w:rPr>
          <w:rFonts w:asciiTheme="majorBidi" w:hAnsiTheme="majorBidi" w:cs="B Lotus"/>
          <w:sz w:val="24"/>
          <w:szCs w:val="24"/>
        </w:rPr>
      </w:pPr>
      <w:r w:rsidRPr="00F75D73">
        <w:rPr>
          <w:rFonts w:asciiTheme="majorBidi" w:hAnsiTheme="majorBidi" w:cs="B Lotus"/>
          <w:sz w:val="24"/>
          <w:szCs w:val="24"/>
        </w:rPr>
        <w:lastRenderedPageBreak/>
        <w:t>De Souza CR, Almeida MC, Khayat AS, da Silva EL, Soares PC,</w:t>
      </w:r>
      <w:r w:rsidR="00F75D73">
        <w:rPr>
          <w:rFonts w:asciiTheme="majorBidi" w:hAnsiTheme="majorBidi" w:cs="B Lotus"/>
          <w:sz w:val="24"/>
          <w:szCs w:val="24"/>
        </w:rPr>
        <w:t xml:space="preserve"> et al.</w:t>
      </w:r>
      <w:r w:rsidRPr="00F75D73">
        <w:rPr>
          <w:rFonts w:asciiTheme="majorBidi" w:hAnsiTheme="majorBidi" w:cs="B Lotus"/>
          <w:sz w:val="24"/>
          <w:szCs w:val="24"/>
        </w:rPr>
        <w:t xml:space="preserve"> Association between Helicobacter pylori, Epstein-Barr virus, and human papillomavirus and gastric adenocarcinomas. World J Gastroenterol 2018; 24(43): 4928- 4938</w:t>
      </w:r>
      <w:r w:rsidR="00F75D73">
        <w:rPr>
          <w:rFonts w:asciiTheme="majorBidi" w:hAnsiTheme="majorBidi" w:cs="B Lotus"/>
          <w:sz w:val="24"/>
          <w:szCs w:val="24"/>
        </w:rPr>
        <w:t>.</w:t>
      </w:r>
      <w:r w:rsidRPr="00F75D73">
        <w:rPr>
          <w:rFonts w:asciiTheme="majorBidi" w:hAnsiTheme="majorBidi" w:cs="B Lotus"/>
          <w:sz w:val="24"/>
          <w:szCs w:val="24"/>
        </w:rPr>
        <w:t xml:space="preserve"> </w:t>
      </w:r>
    </w:p>
    <w:p w:rsidR="00FB52E9" w:rsidRPr="00FB52E9" w:rsidRDefault="00FB52E9" w:rsidP="00F75D73">
      <w:pPr>
        <w:pStyle w:val="ListParagraph"/>
        <w:numPr>
          <w:ilvl w:val="0"/>
          <w:numId w:val="2"/>
        </w:numPr>
        <w:spacing w:line="276" w:lineRule="auto"/>
        <w:jc w:val="both"/>
        <w:rPr>
          <w:rFonts w:asciiTheme="majorBidi" w:hAnsiTheme="majorBidi" w:cs="B Lotus"/>
          <w:sz w:val="24"/>
          <w:szCs w:val="24"/>
        </w:rPr>
      </w:pPr>
      <w:r w:rsidRPr="00FB52E9">
        <w:rPr>
          <w:rFonts w:asciiTheme="majorBidi" w:hAnsiTheme="majorBidi" w:cs="B Lotus"/>
          <w:sz w:val="24"/>
          <w:szCs w:val="24"/>
        </w:rPr>
        <w:t>Leon ME, Kassa E, Bane A, Gemechu T, Tilahun Y, et al. Prevalence of human papillomavirus and Helicobacter pylori in esophageal and gastroesophageal junction cancer biopsies from a case-control study in Ethiopia. Infect Agent Cancer 2019;14:19.</w:t>
      </w:r>
    </w:p>
    <w:p w:rsidR="00FB52E9" w:rsidRPr="00FB52E9" w:rsidRDefault="00FB52E9" w:rsidP="00F75D73">
      <w:pPr>
        <w:pStyle w:val="ListParagraph"/>
        <w:numPr>
          <w:ilvl w:val="0"/>
          <w:numId w:val="2"/>
        </w:numPr>
        <w:tabs>
          <w:tab w:val="left" w:pos="2940"/>
        </w:tabs>
        <w:spacing w:line="276" w:lineRule="auto"/>
        <w:jc w:val="both"/>
        <w:rPr>
          <w:rFonts w:asciiTheme="majorBidi" w:hAnsiTheme="majorBidi" w:cs="B Lotus"/>
          <w:sz w:val="24"/>
          <w:szCs w:val="24"/>
        </w:rPr>
      </w:pPr>
      <w:r w:rsidRPr="00FB52E9">
        <w:rPr>
          <w:rFonts w:asciiTheme="majorBidi" w:hAnsiTheme="majorBidi" w:cs="B Lotus"/>
          <w:sz w:val="24"/>
          <w:szCs w:val="24"/>
        </w:rPr>
        <w:t>Bozdayi G, Dinc B, Avcikucuk H, Turhan N, Altay-Kocak A,</w:t>
      </w:r>
      <w:r w:rsidR="00F75D73">
        <w:rPr>
          <w:rFonts w:asciiTheme="majorBidi" w:hAnsiTheme="majorBidi" w:cs="B Lotus"/>
          <w:sz w:val="24"/>
          <w:szCs w:val="24"/>
        </w:rPr>
        <w:t>et al</w:t>
      </w:r>
      <w:r w:rsidRPr="00FB52E9">
        <w:rPr>
          <w:rFonts w:asciiTheme="majorBidi" w:hAnsiTheme="majorBidi" w:cs="B Lotus"/>
          <w:sz w:val="24"/>
          <w:szCs w:val="24"/>
        </w:rPr>
        <w:t>. Is Human Papillomavirus and Helicobacter pylori Relat</w:t>
      </w:r>
      <w:r w:rsidR="00F75D73">
        <w:rPr>
          <w:rFonts w:asciiTheme="majorBidi" w:hAnsiTheme="majorBidi" w:cs="B Lotus"/>
          <w:sz w:val="24"/>
          <w:szCs w:val="24"/>
        </w:rPr>
        <w:t>ed in Gastric Lesions? Clin Lab</w:t>
      </w:r>
      <w:r w:rsidRPr="00FB52E9">
        <w:rPr>
          <w:rFonts w:asciiTheme="majorBidi" w:hAnsiTheme="majorBidi" w:cs="B Lotus"/>
          <w:sz w:val="24"/>
          <w:szCs w:val="24"/>
        </w:rPr>
        <w:t xml:space="preserve"> 2019;</w:t>
      </w:r>
      <w:r w:rsidR="00F75D73">
        <w:rPr>
          <w:rFonts w:asciiTheme="majorBidi" w:hAnsiTheme="majorBidi" w:cs="B Lotus"/>
          <w:sz w:val="24"/>
          <w:szCs w:val="24"/>
        </w:rPr>
        <w:t xml:space="preserve"> </w:t>
      </w:r>
      <w:r w:rsidRPr="00FB52E9">
        <w:rPr>
          <w:rFonts w:asciiTheme="majorBidi" w:hAnsiTheme="majorBidi" w:cs="B Lotus"/>
          <w:sz w:val="24"/>
          <w:szCs w:val="24"/>
        </w:rPr>
        <w:t>65</w:t>
      </w:r>
      <w:r w:rsidR="00F75D73">
        <w:rPr>
          <w:rFonts w:asciiTheme="majorBidi" w:hAnsiTheme="majorBidi" w:cs="B Lotus"/>
          <w:sz w:val="24"/>
          <w:szCs w:val="24"/>
        </w:rPr>
        <w:t>(10)</w:t>
      </w:r>
      <w:r w:rsidRPr="00FB52E9">
        <w:rPr>
          <w:rFonts w:asciiTheme="majorBidi" w:hAnsiTheme="majorBidi" w:cs="B Lotus"/>
          <w:sz w:val="24"/>
          <w:szCs w:val="24"/>
        </w:rPr>
        <w:t xml:space="preserve">. </w:t>
      </w:r>
    </w:p>
    <w:p w:rsidR="00FB52E9" w:rsidRDefault="00FB52E9" w:rsidP="00FD240F">
      <w:pPr>
        <w:pStyle w:val="ListParagraph"/>
        <w:numPr>
          <w:ilvl w:val="0"/>
          <w:numId w:val="2"/>
        </w:numPr>
        <w:tabs>
          <w:tab w:val="left" w:pos="2940"/>
        </w:tabs>
        <w:spacing w:line="276" w:lineRule="auto"/>
        <w:jc w:val="both"/>
        <w:rPr>
          <w:rFonts w:asciiTheme="majorBidi" w:hAnsiTheme="majorBidi" w:cs="B Lotus"/>
          <w:sz w:val="24"/>
          <w:szCs w:val="24"/>
        </w:rPr>
      </w:pPr>
      <w:r w:rsidRPr="00FB52E9">
        <w:rPr>
          <w:rFonts w:asciiTheme="majorBidi" w:hAnsiTheme="majorBidi" w:cs="B Lotus"/>
          <w:sz w:val="24"/>
          <w:szCs w:val="24"/>
        </w:rPr>
        <w:t>Wang H</w:t>
      </w:r>
      <w:r w:rsidR="00FD240F">
        <w:rPr>
          <w:rFonts w:asciiTheme="majorBidi" w:hAnsiTheme="majorBidi" w:cs="B Lotus"/>
          <w:sz w:val="24"/>
          <w:szCs w:val="24"/>
        </w:rPr>
        <w:t>,</w:t>
      </w:r>
      <w:r w:rsidRPr="00FB52E9">
        <w:rPr>
          <w:rFonts w:asciiTheme="majorBidi" w:hAnsiTheme="majorBidi" w:cs="B Lotus"/>
          <w:sz w:val="24"/>
          <w:szCs w:val="24"/>
        </w:rPr>
        <w:t xml:space="preserve"> Chen X</w:t>
      </w:r>
      <w:r w:rsidR="00FD240F">
        <w:rPr>
          <w:rFonts w:asciiTheme="majorBidi" w:hAnsiTheme="majorBidi" w:cs="B Lotus"/>
          <w:sz w:val="24"/>
          <w:szCs w:val="24"/>
        </w:rPr>
        <w:t xml:space="preserve"> </w:t>
      </w:r>
      <w:r w:rsidRPr="00FB52E9">
        <w:rPr>
          <w:rFonts w:asciiTheme="majorBidi" w:hAnsiTheme="majorBidi" w:cs="B Lotus"/>
          <w:sz w:val="24"/>
          <w:szCs w:val="24"/>
        </w:rPr>
        <w:t>L</w:t>
      </w:r>
      <w:r w:rsidR="00FD240F">
        <w:rPr>
          <w:rFonts w:asciiTheme="majorBidi" w:hAnsiTheme="majorBidi" w:cs="B Lotus"/>
          <w:sz w:val="24"/>
          <w:szCs w:val="24"/>
        </w:rPr>
        <w:t>,</w:t>
      </w:r>
      <w:r w:rsidRPr="00FB52E9">
        <w:rPr>
          <w:rFonts w:asciiTheme="majorBidi" w:hAnsiTheme="majorBidi" w:cs="B Lotus"/>
          <w:sz w:val="24"/>
          <w:szCs w:val="24"/>
        </w:rPr>
        <w:t xml:space="preserve"> Liu K</w:t>
      </w:r>
      <w:r w:rsidR="00FD240F">
        <w:rPr>
          <w:rFonts w:asciiTheme="majorBidi" w:hAnsiTheme="majorBidi" w:cs="B Lotus"/>
          <w:sz w:val="24"/>
          <w:szCs w:val="24"/>
        </w:rPr>
        <w:t>,</w:t>
      </w:r>
      <w:r w:rsidRPr="00FB52E9">
        <w:rPr>
          <w:rFonts w:asciiTheme="majorBidi" w:hAnsiTheme="majorBidi" w:cs="B Lotus"/>
          <w:sz w:val="24"/>
          <w:szCs w:val="24"/>
        </w:rPr>
        <w:t xml:space="preserve"> Bai D</w:t>
      </w:r>
      <w:r w:rsidR="00FD240F">
        <w:rPr>
          <w:rFonts w:asciiTheme="majorBidi" w:hAnsiTheme="majorBidi" w:cs="B Lotus"/>
          <w:sz w:val="24"/>
          <w:szCs w:val="24"/>
        </w:rPr>
        <w:t>,</w:t>
      </w:r>
      <w:r w:rsidRPr="00FB52E9">
        <w:rPr>
          <w:rFonts w:asciiTheme="majorBidi" w:hAnsiTheme="majorBidi" w:cs="B Lotus"/>
          <w:sz w:val="24"/>
          <w:szCs w:val="24"/>
        </w:rPr>
        <w:t xml:space="preserve"> Zhang W</w:t>
      </w:r>
      <w:r w:rsidR="00FD240F">
        <w:rPr>
          <w:rFonts w:asciiTheme="majorBidi" w:hAnsiTheme="majorBidi" w:cs="B Lotus"/>
          <w:sz w:val="24"/>
          <w:szCs w:val="24"/>
        </w:rPr>
        <w:t xml:space="preserve"> </w:t>
      </w:r>
      <w:r w:rsidRPr="00FB52E9">
        <w:rPr>
          <w:rFonts w:asciiTheme="majorBidi" w:hAnsiTheme="majorBidi" w:cs="B Lotus"/>
          <w:sz w:val="24"/>
          <w:szCs w:val="24"/>
        </w:rPr>
        <w:t>H</w:t>
      </w:r>
      <w:r w:rsidR="00FD240F">
        <w:rPr>
          <w:rFonts w:asciiTheme="majorBidi" w:hAnsiTheme="majorBidi" w:cs="B Lotus"/>
          <w:sz w:val="24"/>
          <w:szCs w:val="24"/>
        </w:rPr>
        <w:t>,</w:t>
      </w:r>
      <w:r w:rsidRPr="00FB52E9">
        <w:rPr>
          <w:rFonts w:asciiTheme="majorBidi" w:hAnsiTheme="majorBidi" w:cs="B Lotus"/>
          <w:sz w:val="24"/>
          <w:szCs w:val="24"/>
        </w:rPr>
        <w:t xml:space="preserve"> </w:t>
      </w:r>
      <w:r w:rsidR="00FD240F">
        <w:rPr>
          <w:rFonts w:asciiTheme="majorBidi" w:hAnsiTheme="majorBidi" w:cs="B Lotus"/>
          <w:sz w:val="24"/>
          <w:szCs w:val="24"/>
        </w:rPr>
        <w:t>et al</w:t>
      </w:r>
      <w:r w:rsidRPr="00FB52E9">
        <w:rPr>
          <w:rFonts w:asciiTheme="majorBidi" w:hAnsiTheme="majorBidi" w:cs="B Lotus"/>
          <w:sz w:val="24"/>
          <w:szCs w:val="24"/>
        </w:rPr>
        <w:t>.</w:t>
      </w:r>
      <w:r w:rsidR="00FD240F">
        <w:rPr>
          <w:rFonts w:asciiTheme="majorBidi" w:hAnsiTheme="majorBidi" w:cs="B Lotus"/>
          <w:sz w:val="24"/>
          <w:szCs w:val="24"/>
        </w:rPr>
        <w:t xml:space="preserve"> </w:t>
      </w:r>
      <w:r w:rsidRPr="00FB52E9">
        <w:rPr>
          <w:rFonts w:asciiTheme="majorBidi" w:hAnsiTheme="majorBidi" w:cs="B Lotus"/>
          <w:sz w:val="24"/>
          <w:szCs w:val="24"/>
        </w:rPr>
        <w:t>Associations between gastric cancer risk and virus infection other than Epstein-Barr virus: A systematic review and meta-analysis based on epidemiological studies. Clin Transl Gastroenterol 2020</w:t>
      </w:r>
      <w:r w:rsidR="00FD240F">
        <w:rPr>
          <w:rFonts w:asciiTheme="majorBidi" w:hAnsiTheme="majorBidi" w:cs="B Lotus"/>
          <w:sz w:val="24"/>
          <w:szCs w:val="24"/>
        </w:rPr>
        <w:t>;</w:t>
      </w:r>
      <w:r w:rsidRPr="00FB52E9">
        <w:rPr>
          <w:rFonts w:asciiTheme="majorBidi" w:hAnsiTheme="majorBidi" w:cs="B Lotus"/>
          <w:sz w:val="24"/>
          <w:szCs w:val="24"/>
        </w:rPr>
        <w:t xml:space="preserve"> 11</w:t>
      </w:r>
      <w:r w:rsidR="00FD240F">
        <w:rPr>
          <w:rFonts w:asciiTheme="majorBidi" w:hAnsiTheme="majorBidi" w:cs="B Lotus"/>
          <w:sz w:val="24"/>
          <w:szCs w:val="24"/>
        </w:rPr>
        <w:t>(7):</w:t>
      </w:r>
      <w:r w:rsidRPr="00FB52E9">
        <w:rPr>
          <w:rFonts w:asciiTheme="majorBidi" w:hAnsiTheme="majorBidi" w:cs="B Lotus"/>
          <w:sz w:val="24"/>
          <w:szCs w:val="24"/>
        </w:rPr>
        <w:t xml:space="preserve"> e00201</w:t>
      </w:r>
      <w:r>
        <w:rPr>
          <w:rFonts w:asciiTheme="majorBidi" w:hAnsiTheme="majorBidi" w:cs="B Lotus"/>
          <w:sz w:val="24"/>
          <w:szCs w:val="24"/>
        </w:rPr>
        <w:t xml:space="preserve">. </w:t>
      </w:r>
    </w:p>
    <w:p w:rsidR="00FB52E9" w:rsidRPr="00FB52E9" w:rsidRDefault="00FB52E9" w:rsidP="00FD240F">
      <w:pPr>
        <w:pStyle w:val="ListParagraph"/>
        <w:numPr>
          <w:ilvl w:val="0"/>
          <w:numId w:val="2"/>
        </w:numPr>
        <w:tabs>
          <w:tab w:val="left" w:pos="2940"/>
        </w:tabs>
        <w:spacing w:line="276" w:lineRule="auto"/>
        <w:jc w:val="both"/>
        <w:rPr>
          <w:rFonts w:asciiTheme="majorBidi" w:hAnsiTheme="majorBidi" w:cs="B Lotus"/>
          <w:sz w:val="24"/>
          <w:szCs w:val="24"/>
        </w:rPr>
      </w:pPr>
      <w:r w:rsidRPr="00FB52E9">
        <w:rPr>
          <w:rFonts w:asciiTheme="majorBidi" w:hAnsiTheme="majorBidi" w:cs="B Lotus"/>
          <w:sz w:val="24"/>
          <w:szCs w:val="24"/>
        </w:rPr>
        <w:t>Bae JM. Human papillomavirus infection and gastric cancer risk: A meta-epidemiological review. World J Virol 2021;10(5):209</w:t>
      </w:r>
      <w:r w:rsidR="00FD240F">
        <w:rPr>
          <w:rFonts w:asciiTheme="majorBidi" w:hAnsiTheme="majorBidi" w:cs="B Lotus"/>
          <w:sz w:val="24"/>
          <w:szCs w:val="24"/>
        </w:rPr>
        <w:t>-216</w:t>
      </w:r>
      <w:r w:rsidRPr="00FB52E9">
        <w:rPr>
          <w:rFonts w:asciiTheme="majorBidi" w:hAnsiTheme="majorBidi" w:cs="B Lotus"/>
          <w:sz w:val="24"/>
          <w:szCs w:val="24"/>
        </w:rPr>
        <w:t>.</w:t>
      </w:r>
    </w:p>
    <w:p w:rsidR="00FB52E9" w:rsidRPr="00FB52E9" w:rsidRDefault="00FB52E9" w:rsidP="00372F29">
      <w:pPr>
        <w:pStyle w:val="ListParagraph"/>
        <w:numPr>
          <w:ilvl w:val="0"/>
          <w:numId w:val="2"/>
        </w:numPr>
        <w:tabs>
          <w:tab w:val="left" w:pos="2940"/>
        </w:tabs>
        <w:spacing w:line="276" w:lineRule="auto"/>
        <w:jc w:val="both"/>
        <w:rPr>
          <w:rFonts w:asciiTheme="majorBidi" w:hAnsiTheme="majorBidi" w:cs="B Lotus"/>
          <w:sz w:val="24"/>
          <w:szCs w:val="24"/>
        </w:rPr>
      </w:pPr>
      <w:r w:rsidRPr="00FB52E9">
        <w:rPr>
          <w:rFonts w:asciiTheme="majorBidi" w:hAnsiTheme="majorBidi" w:cs="B Lotus"/>
          <w:sz w:val="24"/>
          <w:szCs w:val="24"/>
        </w:rPr>
        <w:t>Mallakh M</w:t>
      </w:r>
      <w:r w:rsidR="00FD240F">
        <w:rPr>
          <w:rFonts w:asciiTheme="majorBidi" w:hAnsiTheme="majorBidi" w:cs="B Lotus"/>
          <w:sz w:val="24"/>
          <w:szCs w:val="24"/>
        </w:rPr>
        <w:t xml:space="preserve"> </w:t>
      </w:r>
      <w:r w:rsidRPr="00FB52E9">
        <w:rPr>
          <w:rFonts w:asciiTheme="majorBidi" w:hAnsiTheme="majorBidi" w:cs="B Lotus"/>
          <w:sz w:val="24"/>
          <w:szCs w:val="24"/>
        </w:rPr>
        <w:t>K, Mahmood M</w:t>
      </w:r>
      <w:r w:rsidR="00FD240F">
        <w:rPr>
          <w:rFonts w:asciiTheme="majorBidi" w:hAnsiTheme="majorBidi" w:cs="B Lotus"/>
          <w:sz w:val="24"/>
          <w:szCs w:val="24"/>
        </w:rPr>
        <w:t xml:space="preserve"> </w:t>
      </w:r>
      <w:r w:rsidRPr="00FB52E9">
        <w:rPr>
          <w:rFonts w:asciiTheme="majorBidi" w:hAnsiTheme="majorBidi" w:cs="B Lotus"/>
          <w:sz w:val="24"/>
          <w:szCs w:val="24"/>
        </w:rPr>
        <w:t>M, Ali S H M. Expression of a cell cycle regulatory protein (P73) correlated with IL-10 levels in HPV-infected g</w:t>
      </w:r>
      <w:r w:rsidR="00372F29">
        <w:rPr>
          <w:rFonts w:asciiTheme="majorBidi" w:hAnsiTheme="majorBidi" w:cs="B Lotus"/>
          <w:sz w:val="24"/>
          <w:szCs w:val="24"/>
        </w:rPr>
        <w:t>astric cancer patients. Bull</w:t>
      </w:r>
      <w:r w:rsidRPr="00FB52E9">
        <w:rPr>
          <w:rFonts w:asciiTheme="majorBidi" w:hAnsiTheme="majorBidi" w:cs="B Lotus"/>
          <w:sz w:val="24"/>
          <w:szCs w:val="24"/>
        </w:rPr>
        <w:t xml:space="preserve">  Natl Ins</w:t>
      </w:r>
      <w:r w:rsidR="00372F29">
        <w:rPr>
          <w:rFonts w:asciiTheme="majorBidi" w:hAnsiTheme="majorBidi" w:cs="B Lotus"/>
          <w:sz w:val="24"/>
          <w:szCs w:val="24"/>
        </w:rPr>
        <w:t xml:space="preserve">t  Health Sci </w:t>
      </w:r>
      <w:r w:rsidR="00FD240F">
        <w:rPr>
          <w:rFonts w:asciiTheme="majorBidi" w:hAnsiTheme="majorBidi" w:cs="B Lotus"/>
          <w:sz w:val="24"/>
          <w:szCs w:val="24"/>
        </w:rPr>
        <w:t>2022</w:t>
      </w:r>
      <w:r w:rsidR="00372F29">
        <w:rPr>
          <w:rFonts w:asciiTheme="majorBidi" w:hAnsiTheme="majorBidi" w:cs="B Lotus"/>
          <w:sz w:val="24"/>
          <w:szCs w:val="24"/>
        </w:rPr>
        <w:t>;</w:t>
      </w:r>
      <w:r w:rsidRPr="00FB52E9">
        <w:rPr>
          <w:rFonts w:asciiTheme="majorBidi" w:hAnsiTheme="majorBidi" w:cs="B Lotus"/>
          <w:sz w:val="24"/>
          <w:szCs w:val="24"/>
        </w:rPr>
        <w:t xml:space="preserve"> 140(1)</w:t>
      </w:r>
      <w:r w:rsidR="00372F29">
        <w:rPr>
          <w:rFonts w:asciiTheme="majorBidi" w:hAnsiTheme="majorBidi" w:cs="B Lotus"/>
          <w:sz w:val="24"/>
          <w:szCs w:val="24"/>
        </w:rPr>
        <w:t>:</w:t>
      </w:r>
      <w:r w:rsidRPr="00FB52E9">
        <w:rPr>
          <w:rFonts w:asciiTheme="majorBidi" w:hAnsiTheme="majorBidi" w:cs="B Lotus"/>
          <w:sz w:val="24"/>
          <w:szCs w:val="24"/>
        </w:rPr>
        <w:t xml:space="preserve"> 1123–1132.</w:t>
      </w:r>
    </w:p>
    <w:p w:rsidR="00487FAA" w:rsidRPr="00887DB7" w:rsidRDefault="00487FAA" w:rsidP="009115EF">
      <w:pPr>
        <w:pStyle w:val="ListParagraph"/>
        <w:numPr>
          <w:ilvl w:val="0"/>
          <w:numId w:val="2"/>
        </w:numPr>
        <w:tabs>
          <w:tab w:val="left" w:pos="2940"/>
        </w:tabs>
        <w:spacing w:line="276" w:lineRule="auto"/>
        <w:jc w:val="both"/>
        <w:rPr>
          <w:rFonts w:asciiTheme="majorBidi" w:hAnsiTheme="majorBidi" w:cs="B Lotus"/>
          <w:sz w:val="24"/>
          <w:szCs w:val="24"/>
        </w:rPr>
      </w:pPr>
      <w:r w:rsidRPr="00887DB7">
        <w:rPr>
          <w:rFonts w:asciiTheme="majorBidi" w:hAnsiTheme="majorBidi" w:cs="B Lotus"/>
          <w:sz w:val="24"/>
          <w:szCs w:val="24"/>
        </w:rPr>
        <w:t xml:space="preserve">Pourmohammad M, Jomeh H, </w:t>
      </w:r>
      <w:r w:rsidR="009115EF">
        <w:rPr>
          <w:rFonts w:asciiTheme="majorBidi" w:hAnsiTheme="majorBidi" w:cs="B Lotus"/>
          <w:sz w:val="24"/>
          <w:szCs w:val="24"/>
        </w:rPr>
        <w:t>K</w:t>
      </w:r>
      <w:r w:rsidRPr="00887DB7">
        <w:rPr>
          <w:rFonts w:asciiTheme="majorBidi" w:hAnsiTheme="majorBidi" w:cs="B Lotus"/>
          <w:sz w:val="24"/>
          <w:szCs w:val="24"/>
        </w:rPr>
        <w:t>hakzad M, Khayatzadeh J, MokhtariAmirmajdi E. Human papillomavirus and Helicobacter pylori co-infection in gastric cancer patients. Feyz Med Sci J 2023; 27 (6</w:t>
      </w:r>
      <w:r w:rsidR="00887DB7" w:rsidRPr="00887DB7">
        <w:rPr>
          <w:rFonts w:asciiTheme="majorBidi" w:hAnsiTheme="majorBidi" w:cs="B Lotus"/>
          <w:sz w:val="24"/>
          <w:szCs w:val="24"/>
        </w:rPr>
        <w:t>):</w:t>
      </w:r>
      <w:r w:rsidRPr="00887DB7">
        <w:rPr>
          <w:rFonts w:asciiTheme="majorBidi" w:hAnsiTheme="majorBidi" w:cs="B Lotus"/>
          <w:sz w:val="24"/>
          <w:szCs w:val="24"/>
        </w:rPr>
        <w:t xml:space="preserve">679-687. </w:t>
      </w:r>
    </w:p>
    <w:p w:rsidR="00FB52E9" w:rsidRPr="00487FAA" w:rsidRDefault="00487FAA" w:rsidP="00887DB7">
      <w:pPr>
        <w:pStyle w:val="ListParagraph"/>
        <w:numPr>
          <w:ilvl w:val="0"/>
          <w:numId w:val="2"/>
        </w:numPr>
        <w:tabs>
          <w:tab w:val="left" w:pos="2940"/>
        </w:tabs>
        <w:spacing w:line="276" w:lineRule="auto"/>
        <w:jc w:val="both"/>
        <w:rPr>
          <w:rFonts w:asciiTheme="majorBidi" w:hAnsiTheme="majorBidi" w:cs="B Lotus"/>
          <w:sz w:val="24"/>
          <w:szCs w:val="24"/>
          <w:rtl/>
        </w:rPr>
      </w:pPr>
      <w:r w:rsidRPr="00887DB7">
        <w:rPr>
          <w:rFonts w:asciiTheme="majorBidi" w:hAnsiTheme="majorBidi" w:cs="B Lotus"/>
          <w:sz w:val="24"/>
          <w:szCs w:val="24"/>
        </w:rPr>
        <w:t>Javadi N, ParcheBafie S, MoshtaghEshgh Z. The Effect of Music Therapy on the Quality of Life</w:t>
      </w:r>
      <w:r w:rsidR="00887DB7">
        <w:rPr>
          <w:rFonts w:asciiTheme="majorBidi" w:hAnsiTheme="majorBidi" w:cs="B Lotus"/>
          <w:sz w:val="24"/>
          <w:szCs w:val="24"/>
        </w:rPr>
        <w:t xml:space="preserve"> </w:t>
      </w:r>
      <w:r w:rsidRPr="00887DB7">
        <w:rPr>
          <w:rFonts w:asciiTheme="majorBidi" w:hAnsiTheme="majorBidi" w:cs="B Lotus"/>
          <w:sz w:val="24"/>
          <w:szCs w:val="24"/>
        </w:rPr>
        <w:t>of Patients With</w:t>
      </w:r>
      <w:r w:rsidR="00887DB7">
        <w:rPr>
          <w:rFonts w:asciiTheme="majorBidi" w:hAnsiTheme="majorBidi" w:cs="B Lotus"/>
          <w:sz w:val="24"/>
          <w:szCs w:val="24"/>
        </w:rPr>
        <w:t xml:space="preserve"> </w:t>
      </w:r>
      <w:r w:rsidRPr="00887DB7">
        <w:rPr>
          <w:rFonts w:asciiTheme="majorBidi" w:hAnsiTheme="majorBidi" w:cs="B Lotus"/>
          <w:sz w:val="24"/>
          <w:szCs w:val="24"/>
        </w:rPr>
        <w:t>Gastric Cancer Referred to a Selected Hospital</w:t>
      </w:r>
      <w:r w:rsidR="00887DB7">
        <w:rPr>
          <w:rFonts w:asciiTheme="majorBidi" w:hAnsiTheme="majorBidi" w:cs="B Lotus"/>
          <w:sz w:val="24"/>
          <w:szCs w:val="24"/>
        </w:rPr>
        <w:t xml:space="preserve"> </w:t>
      </w:r>
      <w:r w:rsidRPr="00887DB7">
        <w:rPr>
          <w:rFonts w:asciiTheme="majorBidi" w:hAnsiTheme="majorBidi" w:cs="B Lotus"/>
          <w:sz w:val="24"/>
          <w:szCs w:val="24"/>
        </w:rPr>
        <w:t>Affiliated to Ardabil University of Medical Sciences, Ardabil City, Iran,</w:t>
      </w:r>
      <w:r w:rsidR="00887DB7">
        <w:rPr>
          <w:rFonts w:asciiTheme="majorBidi" w:hAnsiTheme="majorBidi" w:cs="B Lotus"/>
          <w:sz w:val="24"/>
          <w:szCs w:val="24"/>
        </w:rPr>
        <w:t xml:space="preserve"> </w:t>
      </w:r>
      <w:r w:rsidRPr="00887DB7">
        <w:rPr>
          <w:rFonts w:asciiTheme="majorBidi" w:hAnsiTheme="majorBidi" w:cs="B Lotus"/>
          <w:sz w:val="24"/>
          <w:szCs w:val="24"/>
        </w:rPr>
        <w:t>in 2020</w:t>
      </w:r>
      <w:r w:rsidR="00887DB7">
        <w:rPr>
          <w:rFonts w:asciiTheme="majorBidi" w:hAnsiTheme="majorBidi" w:cs="B Lotus"/>
          <w:sz w:val="24"/>
          <w:szCs w:val="24"/>
        </w:rPr>
        <w:t>. Complementary Med J</w:t>
      </w:r>
      <w:r w:rsidRPr="00887DB7">
        <w:rPr>
          <w:rFonts w:asciiTheme="majorBidi" w:hAnsiTheme="majorBidi" w:cs="B Lotus"/>
          <w:sz w:val="24"/>
          <w:szCs w:val="24"/>
        </w:rPr>
        <w:t xml:space="preserve"> 2022; 11(4):346-357.</w:t>
      </w:r>
      <w:r w:rsidRPr="00487FAA">
        <w:rPr>
          <w:rFonts w:asciiTheme="majorBidi" w:hAnsiTheme="majorBidi" w:cs="B Lotus"/>
          <w:sz w:val="24"/>
          <w:szCs w:val="24"/>
        </w:rPr>
        <w:t xml:space="preserve"> </w:t>
      </w:r>
    </w:p>
    <w:p w:rsidR="00D51D9B" w:rsidRDefault="00D51D9B" w:rsidP="00867084">
      <w:pPr>
        <w:pStyle w:val="ListParagraph"/>
        <w:spacing w:line="276" w:lineRule="auto"/>
        <w:jc w:val="both"/>
        <w:rPr>
          <w:rFonts w:asciiTheme="majorBidi" w:hAnsiTheme="majorBidi" w:cs="B Lotus"/>
          <w:sz w:val="24"/>
          <w:szCs w:val="24"/>
        </w:rPr>
      </w:pPr>
    </w:p>
    <w:p w:rsidR="00D51D9B" w:rsidRPr="00D51D9B" w:rsidRDefault="00D51D9B" w:rsidP="00D51D9B"/>
    <w:p w:rsidR="00D51D9B" w:rsidRDefault="00D51D9B" w:rsidP="00D51D9B"/>
    <w:p w:rsidR="00D915CE" w:rsidRPr="00D51D9B" w:rsidRDefault="00D51D9B" w:rsidP="00D51D9B">
      <w:pPr>
        <w:tabs>
          <w:tab w:val="left" w:pos="1215"/>
        </w:tabs>
        <w:rPr>
          <w:rtl/>
          <w:lang w:bidi="fa-IR"/>
        </w:rPr>
      </w:pPr>
      <w:r>
        <w:tab/>
      </w:r>
    </w:p>
    <w:sectPr w:rsidR="00D915CE" w:rsidRPr="00D51D9B" w:rsidSect="009031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2A2" w:rsidRDefault="00AB72A2" w:rsidP="003C5B9F">
      <w:pPr>
        <w:spacing w:after="0" w:line="240" w:lineRule="auto"/>
      </w:pPr>
      <w:r>
        <w:separator/>
      </w:r>
    </w:p>
  </w:endnote>
  <w:endnote w:type="continuationSeparator" w:id="1">
    <w:p w:rsidR="00AB72A2" w:rsidRDefault="00AB72A2" w:rsidP="003C5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rlito">
    <w:altName w:val="Calibri"/>
    <w:charset w:val="00"/>
    <w:family w:val="swiss"/>
    <w:pitch w:val="variable"/>
    <w:sig w:usb0="00000000" w:usb1="00000000" w:usb2="00000000" w:usb3="00000000" w:csb0="00000000" w:csb1="00000000"/>
  </w:font>
  <w:font w:name="Calibri Light">
    <w:altName w:val="Dima Shekasteh Free"/>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2A2" w:rsidRDefault="00AB72A2" w:rsidP="003C5B9F">
      <w:pPr>
        <w:spacing w:after="0" w:line="240" w:lineRule="auto"/>
      </w:pPr>
      <w:r>
        <w:separator/>
      </w:r>
    </w:p>
  </w:footnote>
  <w:footnote w:type="continuationSeparator" w:id="1">
    <w:p w:rsidR="00AB72A2" w:rsidRDefault="00AB72A2" w:rsidP="003C5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F43B7"/>
    <w:multiLevelType w:val="hybridMultilevel"/>
    <w:tmpl w:val="39D40BD0"/>
    <w:lvl w:ilvl="0" w:tplc="A534670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711B3A"/>
    <w:multiLevelType w:val="hybridMultilevel"/>
    <w:tmpl w:val="E490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7B146B"/>
    <w:multiLevelType w:val="hybridMultilevel"/>
    <w:tmpl w:val="6762B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75CFF"/>
    <w:rsid w:val="00001CE6"/>
    <w:rsid w:val="0000451C"/>
    <w:rsid w:val="0001658F"/>
    <w:rsid w:val="00024277"/>
    <w:rsid w:val="000245B9"/>
    <w:rsid w:val="00024D3F"/>
    <w:rsid w:val="00025F92"/>
    <w:rsid w:val="00033E63"/>
    <w:rsid w:val="00070B45"/>
    <w:rsid w:val="000828D2"/>
    <w:rsid w:val="00086B7D"/>
    <w:rsid w:val="00095108"/>
    <w:rsid w:val="000A7A46"/>
    <w:rsid w:val="000D28E2"/>
    <w:rsid w:val="000E1EB3"/>
    <w:rsid w:val="001005FC"/>
    <w:rsid w:val="0013705A"/>
    <w:rsid w:val="001721E1"/>
    <w:rsid w:val="00172E90"/>
    <w:rsid w:val="001838BB"/>
    <w:rsid w:val="001A2F84"/>
    <w:rsid w:val="001B271E"/>
    <w:rsid w:val="001E417D"/>
    <w:rsid w:val="001F2C78"/>
    <w:rsid w:val="00206E77"/>
    <w:rsid w:val="00240E98"/>
    <w:rsid w:val="00255079"/>
    <w:rsid w:val="00256ECA"/>
    <w:rsid w:val="00257896"/>
    <w:rsid w:val="002655FE"/>
    <w:rsid w:val="00272B47"/>
    <w:rsid w:val="00274459"/>
    <w:rsid w:val="00285661"/>
    <w:rsid w:val="00296B88"/>
    <w:rsid w:val="002A127E"/>
    <w:rsid w:val="002A62C9"/>
    <w:rsid w:val="002D228F"/>
    <w:rsid w:val="002E6DC7"/>
    <w:rsid w:val="002F3CA9"/>
    <w:rsid w:val="00307503"/>
    <w:rsid w:val="00310A2F"/>
    <w:rsid w:val="00315534"/>
    <w:rsid w:val="00324697"/>
    <w:rsid w:val="003425CC"/>
    <w:rsid w:val="00372F29"/>
    <w:rsid w:val="003A7099"/>
    <w:rsid w:val="003C5B9F"/>
    <w:rsid w:val="003D444D"/>
    <w:rsid w:val="003D7C77"/>
    <w:rsid w:val="003E0614"/>
    <w:rsid w:val="003E4AD4"/>
    <w:rsid w:val="003F1756"/>
    <w:rsid w:val="00410745"/>
    <w:rsid w:val="00424C87"/>
    <w:rsid w:val="0043273F"/>
    <w:rsid w:val="00442196"/>
    <w:rsid w:val="004541CC"/>
    <w:rsid w:val="00454F5A"/>
    <w:rsid w:val="004567FA"/>
    <w:rsid w:val="00462B15"/>
    <w:rsid w:val="004731C2"/>
    <w:rsid w:val="00484798"/>
    <w:rsid w:val="00485767"/>
    <w:rsid w:val="00487FAA"/>
    <w:rsid w:val="004A20A3"/>
    <w:rsid w:val="004A7A79"/>
    <w:rsid w:val="004B24A4"/>
    <w:rsid w:val="004B2D18"/>
    <w:rsid w:val="004B48E1"/>
    <w:rsid w:val="004C5AD1"/>
    <w:rsid w:val="004E50F7"/>
    <w:rsid w:val="004F0491"/>
    <w:rsid w:val="004F3095"/>
    <w:rsid w:val="00502087"/>
    <w:rsid w:val="0050209A"/>
    <w:rsid w:val="0051179A"/>
    <w:rsid w:val="005263D3"/>
    <w:rsid w:val="005330CC"/>
    <w:rsid w:val="005515E1"/>
    <w:rsid w:val="00560B4B"/>
    <w:rsid w:val="005660CB"/>
    <w:rsid w:val="005819C0"/>
    <w:rsid w:val="005B25BF"/>
    <w:rsid w:val="005E6A05"/>
    <w:rsid w:val="005E6D47"/>
    <w:rsid w:val="00646E1D"/>
    <w:rsid w:val="006572D9"/>
    <w:rsid w:val="00662E53"/>
    <w:rsid w:val="00666FBC"/>
    <w:rsid w:val="00683B59"/>
    <w:rsid w:val="00685D17"/>
    <w:rsid w:val="006B408B"/>
    <w:rsid w:val="006C073A"/>
    <w:rsid w:val="006D32C5"/>
    <w:rsid w:val="006E73EB"/>
    <w:rsid w:val="006F2A74"/>
    <w:rsid w:val="00701586"/>
    <w:rsid w:val="00722B88"/>
    <w:rsid w:val="00725719"/>
    <w:rsid w:val="00755F0B"/>
    <w:rsid w:val="00775CFF"/>
    <w:rsid w:val="007B59BF"/>
    <w:rsid w:val="007B6268"/>
    <w:rsid w:val="007D2957"/>
    <w:rsid w:val="007D2E52"/>
    <w:rsid w:val="007F2699"/>
    <w:rsid w:val="007F381E"/>
    <w:rsid w:val="0081645E"/>
    <w:rsid w:val="008252DE"/>
    <w:rsid w:val="00836DA6"/>
    <w:rsid w:val="008402BC"/>
    <w:rsid w:val="008659B6"/>
    <w:rsid w:val="00867084"/>
    <w:rsid w:val="00884391"/>
    <w:rsid w:val="00887DB7"/>
    <w:rsid w:val="008C3BC5"/>
    <w:rsid w:val="00903160"/>
    <w:rsid w:val="00910125"/>
    <w:rsid w:val="009115EF"/>
    <w:rsid w:val="009169E3"/>
    <w:rsid w:val="00924942"/>
    <w:rsid w:val="0092605B"/>
    <w:rsid w:val="00933D5B"/>
    <w:rsid w:val="009452FF"/>
    <w:rsid w:val="009518D8"/>
    <w:rsid w:val="00970888"/>
    <w:rsid w:val="009915E5"/>
    <w:rsid w:val="009A3BA0"/>
    <w:rsid w:val="009A5A30"/>
    <w:rsid w:val="009B4F6E"/>
    <w:rsid w:val="009C3584"/>
    <w:rsid w:val="009E0C8E"/>
    <w:rsid w:val="009E3CA0"/>
    <w:rsid w:val="00A20190"/>
    <w:rsid w:val="00A26958"/>
    <w:rsid w:val="00A33835"/>
    <w:rsid w:val="00A34AAA"/>
    <w:rsid w:val="00A36C18"/>
    <w:rsid w:val="00A42E78"/>
    <w:rsid w:val="00A63B42"/>
    <w:rsid w:val="00A65524"/>
    <w:rsid w:val="00AB72A2"/>
    <w:rsid w:val="00B004FB"/>
    <w:rsid w:val="00B01F07"/>
    <w:rsid w:val="00B35588"/>
    <w:rsid w:val="00B44531"/>
    <w:rsid w:val="00B51D96"/>
    <w:rsid w:val="00B94B93"/>
    <w:rsid w:val="00B97221"/>
    <w:rsid w:val="00BC2C49"/>
    <w:rsid w:val="00BE4C84"/>
    <w:rsid w:val="00BE7B99"/>
    <w:rsid w:val="00C0336B"/>
    <w:rsid w:val="00C05998"/>
    <w:rsid w:val="00C17A1C"/>
    <w:rsid w:val="00C24893"/>
    <w:rsid w:val="00C32FD1"/>
    <w:rsid w:val="00C33E16"/>
    <w:rsid w:val="00C42043"/>
    <w:rsid w:val="00C45CCE"/>
    <w:rsid w:val="00CA6ED2"/>
    <w:rsid w:val="00CB1EEA"/>
    <w:rsid w:val="00CC750D"/>
    <w:rsid w:val="00CF2A1B"/>
    <w:rsid w:val="00CF31BF"/>
    <w:rsid w:val="00D13916"/>
    <w:rsid w:val="00D3781E"/>
    <w:rsid w:val="00D51D9B"/>
    <w:rsid w:val="00D53D42"/>
    <w:rsid w:val="00D75649"/>
    <w:rsid w:val="00D81BC7"/>
    <w:rsid w:val="00D8529A"/>
    <w:rsid w:val="00D915CE"/>
    <w:rsid w:val="00DB0AAC"/>
    <w:rsid w:val="00DC03CD"/>
    <w:rsid w:val="00DD4AC1"/>
    <w:rsid w:val="00E06991"/>
    <w:rsid w:val="00E30665"/>
    <w:rsid w:val="00E40FDB"/>
    <w:rsid w:val="00E45C03"/>
    <w:rsid w:val="00E47BA9"/>
    <w:rsid w:val="00E511BD"/>
    <w:rsid w:val="00E52829"/>
    <w:rsid w:val="00E67E48"/>
    <w:rsid w:val="00E7656A"/>
    <w:rsid w:val="00E82512"/>
    <w:rsid w:val="00EA11F3"/>
    <w:rsid w:val="00EA1AF3"/>
    <w:rsid w:val="00EB005D"/>
    <w:rsid w:val="00EC6787"/>
    <w:rsid w:val="00ED761C"/>
    <w:rsid w:val="00EF6463"/>
    <w:rsid w:val="00EF6632"/>
    <w:rsid w:val="00F162D5"/>
    <w:rsid w:val="00F2464F"/>
    <w:rsid w:val="00F3454B"/>
    <w:rsid w:val="00F5654A"/>
    <w:rsid w:val="00F64EDB"/>
    <w:rsid w:val="00F75D73"/>
    <w:rsid w:val="00F96361"/>
    <w:rsid w:val="00FA118B"/>
    <w:rsid w:val="00FA44CF"/>
    <w:rsid w:val="00FB52E9"/>
    <w:rsid w:val="00FB563A"/>
    <w:rsid w:val="00FB6A3D"/>
    <w:rsid w:val="00FC22CF"/>
    <w:rsid w:val="00FC77CB"/>
    <w:rsid w:val="00FD0388"/>
    <w:rsid w:val="00FD240F"/>
    <w:rsid w:val="00FE6F5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83B59"/>
    <w:pPr>
      <w:widowControl w:val="0"/>
      <w:autoSpaceDE w:val="0"/>
      <w:autoSpaceDN w:val="0"/>
      <w:spacing w:after="0" w:line="240" w:lineRule="auto"/>
      <w:jc w:val="center"/>
    </w:pPr>
    <w:rPr>
      <w:rFonts w:ascii="Times New Roman" w:eastAsia="Times New Roman" w:hAnsi="Times New Roman" w:cs="Times New Roman"/>
      <w:kern w:val="0"/>
    </w:rPr>
  </w:style>
  <w:style w:type="paragraph" w:styleId="ListParagraph">
    <w:name w:val="List Paragraph"/>
    <w:basedOn w:val="Normal"/>
    <w:uiPriority w:val="34"/>
    <w:qFormat/>
    <w:rsid w:val="009B4F6E"/>
    <w:pPr>
      <w:ind w:left="720"/>
      <w:contextualSpacing/>
    </w:pPr>
  </w:style>
  <w:style w:type="paragraph" w:styleId="BalloonText">
    <w:name w:val="Balloon Text"/>
    <w:basedOn w:val="Normal"/>
    <w:link w:val="BalloonTextChar"/>
    <w:uiPriority w:val="99"/>
    <w:semiHidden/>
    <w:unhideWhenUsed/>
    <w:rsid w:val="00755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F0B"/>
    <w:rPr>
      <w:rFonts w:ascii="Tahoma" w:hAnsi="Tahoma" w:cs="Tahoma"/>
      <w:sz w:val="16"/>
      <w:szCs w:val="16"/>
    </w:rPr>
  </w:style>
  <w:style w:type="character" w:styleId="Hyperlink">
    <w:name w:val="Hyperlink"/>
    <w:basedOn w:val="DefaultParagraphFont"/>
    <w:uiPriority w:val="99"/>
    <w:unhideWhenUsed/>
    <w:rsid w:val="00095108"/>
    <w:rPr>
      <w:color w:val="0563C1" w:themeColor="hyperlink"/>
      <w:u w:val="single"/>
    </w:rPr>
  </w:style>
  <w:style w:type="paragraph" w:styleId="Header">
    <w:name w:val="header"/>
    <w:basedOn w:val="Normal"/>
    <w:link w:val="HeaderChar"/>
    <w:uiPriority w:val="99"/>
    <w:unhideWhenUsed/>
    <w:rsid w:val="003C5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B9F"/>
  </w:style>
  <w:style w:type="paragraph" w:styleId="Footer">
    <w:name w:val="footer"/>
    <w:basedOn w:val="Normal"/>
    <w:link w:val="FooterChar"/>
    <w:uiPriority w:val="99"/>
    <w:unhideWhenUsed/>
    <w:rsid w:val="003C5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B9F"/>
  </w:style>
  <w:style w:type="character" w:styleId="CommentReference">
    <w:name w:val="annotation reference"/>
    <w:basedOn w:val="DefaultParagraphFont"/>
    <w:uiPriority w:val="99"/>
    <w:semiHidden/>
    <w:unhideWhenUsed/>
    <w:rsid w:val="000245B9"/>
    <w:rPr>
      <w:sz w:val="16"/>
      <w:szCs w:val="16"/>
    </w:rPr>
  </w:style>
  <w:style w:type="paragraph" w:styleId="CommentText">
    <w:name w:val="annotation text"/>
    <w:basedOn w:val="Normal"/>
    <w:link w:val="CommentTextChar"/>
    <w:uiPriority w:val="99"/>
    <w:semiHidden/>
    <w:unhideWhenUsed/>
    <w:rsid w:val="000245B9"/>
    <w:pPr>
      <w:spacing w:line="240" w:lineRule="auto"/>
    </w:pPr>
    <w:rPr>
      <w:sz w:val="20"/>
      <w:szCs w:val="20"/>
    </w:rPr>
  </w:style>
  <w:style w:type="character" w:customStyle="1" w:styleId="CommentTextChar">
    <w:name w:val="Comment Text Char"/>
    <w:basedOn w:val="DefaultParagraphFont"/>
    <w:link w:val="CommentText"/>
    <w:uiPriority w:val="99"/>
    <w:semiHidden/>
    <w:rsid w:val="000245B9"/>
    <w:rPr>
      <w:sz w:val="20"/>
      <w:szCs w:val="20"/>
    </w:rPr>
  </w:style>
  <w:style w:type="paragraph" w:styleId="CommentSubject">
    <w:name w:val="annotation subject"/>
    <w:basedOn w:val="CommentText"/>
    <w:next w:val="CommentText"/>
    <w:link w:val="CommentSubjectChar"/>
    <w:uiPriority w:val="99"/>
    <w:semiHidden/>
    <w:unhideWhenUsed/>
    <w:rsid w:val="000245B9"/>
    <w:rPr>
      <w:b/>
      <w:bCs/>
    </w:rPr>
  </w:style>
  <w:style w:type="character" w:customStyle="1" w:styleId="CommentSubjectChar">
    <w:name w:val="Comment Subject Char"/>
    <w:basedOn w:val="CommentTextChar"/>
    <w:link w:val="CommentSubject"/>
    <w:uiPriority w:val="99"/>
    <w:semiHidden/>
    <w:rsid w:val="000245B9"/>
    <w:rPr>
      <w:b/>
      <w:bCs/>
      <w:sz w:val="20"/>
      <w:szCs w:val="20"/>
    </w:rPr>
  </w:style>
  <w:style w:type="character" w:styleId="FollowedHyperlink">
    <w:name w:val="FollowedHyperlink"/>
    <w:basedOn w:val="DefaultParagraphFont"/>
    <w:uiPriority w:val="99"/>
    <w:semiHidden/>
    <w:unhideWhenUsed/>
    <w:rsid w:val="0025789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29542660">
      <w:bodyDiv w:val="1"/>
      <w:marLeft w:val="0"/>
      <w:marRight w:val="0"/>
      <w:marTop w:val="0"/>
      <w:marBottom w:val="0"/>
      <w:divBdr>
        <w:top w:val="none" w:sz="0" w:space="0" w:color="auto"/>
        <w:left w:val="none" w:sz="0" w:space="0" w:color="auto"/>
        <w:bottom w:val="none" w:sz="0" w:space="0" w:color="auto"/>
        <w:right w:val="none" w:sz="0" w:space="0" w:color="auto"/>
      </w:divBdr>
    </w:div>
    <w:div w:id="1871340079">
      <w:bodyDiv w:val="1"/>
      <w:marLeft w:val="0"/>
      <w:marRight w:val="0"/>
      <w:marTop w:val="0"/>
      <w:marBottom w:val="0"/>
      <w:divBdr>
        <w:top w:val="none" w:sz="0" w:space="0" w:color="auto"/>
        <w:left w:val="none" w:sz="0" w:space="0" w:color="auto"/>
        <w:bottom w:val="none" w:sz="0" w:space="0" w:color="auto"/>
        <w:right w:val="none" w:sz="0" w:space="0" w:color="auto"/>
      </w:divBdr>
      <w:divsChild>
        <w:div w:id="1717240470">
          <w:marLeft w:val="0"/>
          <w:marRight w:val="0"/>
          <w:marTop w:val="0"/>
          <w:marBottom w:val="0"/>
          <w:divBdr>
            <w:top w:val="none" w:sz="0" w:space="0" w:color="auto"/>
            <w:left w:val="none" w:sz="0" w:space="0" w:color="auto"/>
            <w:bottom w:val="none" w:sz="0" w:space="0" w:color="auto"/>
            <w:right w:val="none" w:sz="0" w:space="0" w:color="auto"/>
          </w:divBdr>
        </w:div>
        <w:div w:id="866212611">
          <w:marLeft w:val="0"/>
          <w:marRight w:val="0"/>
          <w:marTop w:val="0"/>
          <w:marBottom w:val="0"/>
          <w:divBdr>
            <w:top w:val="none" w:sz="0" w:space="0" w:color="auto"/>
            <w:left w:val="none" w:sz="0" w:space="0" w:color="auto"/>
            <w:bottom w:val="none" w:sz="0" w:space="0" w:color="auto"/>
            <w:right w:val="none" w:sz="0" w:space="0" w:color="auto"/>
          </w:divBdr>
        </w:div>
        <w:div w:id="874579568">
          <w:marLeft w:val="0"/>
          <w:marRight w:val="0"/>
          <w:marTop w:val="0"/>
          <w:marBottom w:val="0"/>
          <w:divBdr>
            <w:top w:val="none" w:sz="0" w:space="0" w:color="auto"/>
            <w:left w:val="none" w:sz="0" w:space="0" w:color="auto"/>
            <w:bottom w:val="none" w:sz="0" w:space="0" w:color="auto"/>
            <w:right w:val="none" w:sz="0" w:space="0" w:color="auto"/>
          </w:divBdr>
        </w:div>
        <w:div w:id="83766061">
          <w:marLeft w:val="0"/>
          <w:marRight w:val="0"/>
          <w:marTop w:val="0"/>
          <w:marBottom w:val="0"/>
          <w:divBdr>
            <w:top w:val="none" w:sz="0" w:space="0" w:color="auto"/>
            <w:left w:val="none" w:sz="0" w:space="0" w:color="auto"/>
            <w:bottom w:val="none" w:sz="0" w:space="0" w:color="auto"/>
            <w:right w:val="none" w:sz="0" w:space="0" w:color="auto"/>
          </w:divBdr>
        </w:div>
        <w:div w:id="34890494">
          <w:marLeft w:val="0"/>
          <w:marRight w:val="0"/>
          <w:marTop w:val="0"/>
          <w:marBottom w:val="0"/>
          <w:divBdr>
            <w:top w:val="none" w:sz="0" w:space="0" w:color="auto"/>
            <w:left w:val="none" w:sz="0" w:space="0" w:color="auto"/>
            <w:bottom w:val="none" w:sz="0" w:space="0" w:color="auto"/>
            <w:right w:val="none" w:sz="0" w:space="0" w:color="auto"/>
          </w:divBdr>
        </w:div>
        <w:div w:id="1121993852">
          <w:marLeft w:val="0"/>
          <w:marRight w:val="0"/>
          <w:marTop w:val="0"/>
          <w:marBottom w:val="0"/>
          <w:divBdr>
            <w:top w:val="none" w:sz="0" w:space="0" w:color="auto"/>
            <w:left w:val="none" w:sz="0" w:space="0" w:color="auto"/>
            <w:bottom w:val="none" w:sz="0" w:space="0" w:color="auto"/>
            <w:right w:val="none" w:sz="0" w:space="0" w:color="auto"/>
          </w:divBdr>
        </w:div>
        <w:div w:id="1871992767">
          <w:marLeft w:val="0"/>
          <w:marRight w:val="0"/>
          <w:marTop w:val="0"/>
          <w:marBottom w:val="0"/>
          <w:divBdr>
            <w:top w:val="none" w:sz="0" w:space="0" w:color="auto"/>
            <w:left w:val="none" w:sz="0" w:space="0" w:color="auto"/>
            <w:bottom w:val="none" w:sz="0" w:space="0" w:color="auto"/>
            <w:right w:val="none" w:sz="0" w:space="0" w:color="auto"/>
          </w:divBdr>
        </w:div>
        <w:div w:id="1331255996">
          <w:marLeft w:val="0"/>
          <w:marRight w:val="0"/>
          <w:marTop w:val="0"/>
          <w:marBottom w:val="0"/>
          <w:divBdr>
            <w:top w:val="none" w:sz="0" w:space="0" w:color="auto"/>
            <w:left w:val="none" w:sz="0" w:space="0" w:color="auto"/>
            <w:bottom w:val="none" w:sz="0" w:space="0" w:color="auto"/>
            <w:right w:val="none" w:sz="0" w:space="0" w:color="auto"/>
          </w:divBdr>
        </w:div>
        <w:div w:id="45569870">
          <w:marLeft w:val="0"/>
          <w:marRight w:val="0"/>
          <w:marTop w:val="0"/>
          <w:marBottom w:val="0"/>
          <w:divBdr>
            <w:top w:val="none" w:sz="0" w:space="0" w:color="auto"/>
            <w:left w:val="none" w:sz="0" w:space="0" w:color="auto"/>
            <w:bottom w:val="none" w:sz="0" w:space="0" w:color="auto"/>
            <w:right w:val="none" w:sz="0" w:space="0" w:color="auto"/>
          </w:divBdr>
        </w:div>
        <w:div w:id="1522429665">
          <w:marLeft w:val="0"/>
          <w:marRight w:val="0"/>
          <w:marTop w:val="0"/>
          <w:marBottom w:val="0"/>
          <w:divBdr>
            <w:top w:val="none" w:sz="0" w:space="0" w:color="auto"/>
            <w:left w:val="none" w:sz="0" w:space="0" w:color="auto"/>
            <w:bottom w:val="none" w:sz="0" w:space="0" w:color="auto"/>
            <w:right w:val="none" w:sz="0" w:space="0" w:color="auto"/>
          </w:divBdr>
        </w:div>
        <w:div w:id="1741711872">
          <w:marLeft w:val="0"/>
          <w:marRight w:val="0"/>
          <w:marTop w:val="0"/>
          <w:marBottom w:val="0"/>
          <w:divBdr>
            <w:top w:val="none" w:sz="0" w:space="0" w:color="auto"/>
            <w:left w:val="none" w:sz="0" w:space="0" w:color="auto"/>
            <w:bottom w:val="none" w:sz="0" w:space="0" w:color="auto"/>
            <w:right w:val="none" w:sz="0" w:space="0" w:color="auto"/>
          </w:divBdr>
        </w:div>
        <w:div w:id="388769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7CEB-18D0-4672-99F6-2CF02B81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15</Pages>
  <Words>4465</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karbar</dc:creator>
  <cp:keywords/>
  <dc:description/>
  <cp:lastModifiedBy>radjab</cp:lastModifiedBy>
  <cp:revision>81</cp:revision>
  <dcterms:created xsi:type="dcterms:W3CDTF">2025-01-11T08:26:00Z</dcterms:created>
  <dcterms:modified xsi:type="dcterms:W3CDTF">2025-02-01T20:24:00Z</dcterms:modified>
</cp:coreProperties>
</file>